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0F" w:rsidRDefault="00D44CD0">
      <w:pP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Benchmarking Committee Goal: </w:t>
      </w:r>
      <w:r>
        <w:rPr>
          <w:rFonts w:ascii="Calibri" w:eastAsia="Calibri" w:hAnsi="Calibri" w:cs="Calibri"/>
          <w:sz w:val="22"/>
          <w:szCs w:val="22"/>
        </w:rPr>
        <w:t>To develop, facilitate, and analyze surveys, and report survey results, upon request of the NAYGN board of directors (NAYGN Core).  To consolidate and share relevant benchmarking information, such as best practices and achievements from chapters across the</w:t>
      </w:r>
      <w:r>
        <w:rPr>
          <w:rFonts w:ascii="Calibri" w:eastAsia="Calibri" w:hAnsi="Calibri" w:cs="Calibri"/>
          <w:sz w:val="22"/>
          <w:szCs w:val="22"/>
        </w:rPr>
        <w:t xml:space="preserve"> NAYGN Membership.</w:t>
      </w:r>
    </w:p>
    <w:p w:rsidR="0036030F" w:rsidRDefault="0036030F">
      <w:pPr>
        <w:rPr>
          <w:rFonts w:ascii="Calibri" w:eastAsia="Calibri" w:hAnsi="Calibri" w:cs="Calibri"/>
          <w:b/>
          <w:sz w:val="22"/>
          <w:szCs w:val="22"/>
        </w:rPr>
      </w:pPr>
    </w:p>
    <w:p w:rsidR="0036030F" w:rsidRDefault="00D44CD0">
      <w:pPr>
        <w:rPr>
          <w:rFonts w:ascii="Calibri" w:eastAsia="Calibri" w:hAnsi="Calibri" w:cs="Calibri"/>
          <w:b/>
          <w:sz w:val="22"/>
          <w:szCs w:val="22"/>
        </w:rPr>
      </w:pPr>
      <w:r>
        <w:rPr>
          <w:rFonts w:ascii="Calibri" w:eastAsia="Calibri" w:hAnsi="Calibri" w:cs="Calibri"/>
          <w:b/>
          <w:sz w:val="22"/>
          <w:szCs w:val="22"/>
        </w:rPr>
        <w:t>Background &amp; Purpose</w:t>
      </w:r>
    </w:p>
    <w:p w:rsidR="0036030F" w:rsidRDefault="00D44CD0">
      <w:pPr>
        <w:jc w:val="both"/>
        <w:rPr>
          <w:rFonts w:ascii="Calibri" w:eastAsia="Calibri" w:hAnsi="Calibri" w:cs="Calibri"/>
          <w:sz w:val="22"/>
          <w:szCs w:val="22"/>
        </w:rPr>
      </w:pPr>
      <w:r>
        <w:rPr>
          <w:rFonts w:ascii="Calibri" w:eastAsia="Calibri" w:hAnsi="Calibri" w:cs="Calibri"/>
          <w:sz w:val="22"/>
          <w:szCs w:val="22"/>
        </w:rPr>
        <w:t xml:space="preserve">Since NAYGN’s inception in 1999, the nuclear industry has looked to our organization as the voice of the young generation.  Member surveys are conducted to gather input on key issues related to the goals of NAYGN.  </w:t>
      </w:r>
      <w:r>
        <w:rPr>
          <w:rFonts w:ascii="Calibri" w:eastAsia="Calibri" w:hAnsi="Calibri" w:cs="Calibri"/>
          <w:sz w:val="22"/>
          <w:szCs w:val="22"/>
        </w:rPr>
        <w:t>The goals of NAYGN are to:</w:t>
      </w:r>
    </w:p>
    <w:p w:rsidR="0036030F" w:rsidRDefault="00D44CD0">
      <w:pPr>
        <w:numPr>
          <w:ilvl w:val="0"/>
          <w:numId w:val="4"/>
        </w:numPr>
        <w:jc w:val="both"/>
        <w:rPr>
          <w:sz w:val="22"/>
          <w:szCs w:val="22"/>
        </w:rPr>
      </w:pPr>
      <w:r>
        <w:rPr>
          <w:rFonts w:ascii="Calibri" w:eastAsia="Calibri" w:hAnsi="Calibri" w:cs="Calibri"/>
          <w:sz w:val="22"/>
          <w:szCs w:val="22"/>
        </w:rPr>
        <w:t xml:space="preserve">Provide a forum for the </w:t>
      </w:r>
      <w:r>
        <w:rPr>
          <w:rFonts w:ascii="Calibri" w:eastAsia="Calibri" w:hAnsi="Calibri" w:cs="Calibri"/>
          <w:b/>
          <w:color w:val="008000"/>
          <w:sz w:val="22"/>
          <w:szCs w:val="22"/>
        </w:rPr>
        <w:t>Professional Development</w:t>
      </w:r>
      <w:r>
        <w:rPr>
          <w:rFonts w:ascii="Calibri" w:eastAsia="Calibri" w:hAnsi="Calibri" w:cs="Calibri"/>
          <w:sz w:val="22"/>
          <w:szCs w:val="22"/>
        </w:rPr>
        <w:t xml:space="preserve"> of its membership.</w:t>
      </w:r>
    </w:p>
    <w:p w:rsidR="0036030F" w:rsidRDefault="00D44CD0">
      <w:pPr>
        <w:numPr>
          <w:ilvl w:val="0"/>
          <w:numId w:val="4"/>
        </w:numPr>
        <w:jc w:val="both"/>
        <w:rPr>
          <w:sz w:val="22"/>
          <w:szCs w:val="22"/>
        </w:rPr>
      </w:pPr>
      <w:r>
        <w:rPr>
          <w:rFonts w:ascii="Calibri" w:eastAsia="Calibri" w:hAnsi="Calibri" w:cs="Calibri"/>
          <w:sz w:val="22"/>
          <w:szCs w:val="22"/>
        </w:rPr>
        <w:t xml:space="preserve">Actively participate in </w:t>
      </w:r>
      <w:r>
        <w:rPr>
          <w:rFonts w:ascii="Calibri" w:eastAsia="Calibri" w:hAnsi="Calibri" w:cs="Calibri"/>
          <w:b/>
          <w:color w:val="008000"/>
          <w:sz w:val="22"/>
          <w:szCs w:val="22"/>
        </w:rPr>
        <w:t>Public Information</w:t>
      </w:r>
      <w:r>
        <w:rPr>
          <w:rFonts w:ascii="Calibri" w:eastAsia="Calibri" w:hAnsi="Calibri" w:cs="Calibri"/>
          <w:sz w:val="22"/>
          <w:szCs w:val="22"/>
        </w:rPr>
        <w:t xml:space="preserve"> by informing and educating the general population about nuclear science and technology.</w:t>
      </w:r>
    </w:p>
    <w:p w:rsidR="0036030F" w:rsidRDefault="00D44CD0">
      <w:pPr>
        <w:numPr>
          <w:ilvl w:val="0"/>
          <w:numId w:val="4"/>
        </w:numPr>
        <w:jc w:val="both"/>
        <w:rPr>
          <w:sz w:val="22"/>
          <w:szCs w:val="22"/>
        </w:rPr>
      </w:pPr>
      <w:r>
        <w:rPr>
          <w:rFonts w:ascii="Calibri" w:eastAsia="Calibri" w:hAnsi="Calibri" w:cs="Calibri"/>
          <w:sz w:val="22"/>
          <w:szCs w:val="22"/>
        </w:rPr>
        <w:t xml:space="preserve">Actively participate in </w:t>
      </w:r>
      <w:r>
        <w:rPr>
          <w:rFonts w:ascii="Calibri" w:eastAsia="Calibri" w:hAnsi="Calibri" w:cs="Calibri"/>
          <w:b/>
          <w:color w:val="008000"/>
          <w:sz w:val="22"/>
          <w:szCs w:val="22"/>
        </w:rPr>
        <w:t>Recrui</w:t>
      </w:r>
      <w:r>
        <w:rPr>
          <w:rFonts w:ascii="Calibri" w:eastAsia="Calibri" w:hAnsi="Calibri" w:cs="Calibri"/>
          <w:b/>
          <w:color w:val="008000"/>
          <w:sz w:val="22"/>
          <w:szCs w:val="22"/>
        </w:rPr>
        <w:t>tment and Retention</w:t>
      </w:r>
      <w:r>
        <w:rPr>
          <w:rFonts w:ascii="Calibri" w:eastAsia="Calibri" w:hAnsi="Calibri" w:cs="Calibri"/>
          <w:sz w:val="22"/>
          <w:szCs w:val="22"/>
        </w:rPr>
        <w:t xml:space="preserve"> for NA-YGN and the Nuclear Industry.</w:t>
      </w:r>
    </w:p>
    <w:p w:rsidR="0036030F" w:rsidRDefault="00D44CD0">
      <w:pPr>
        <w:numPr>
          <w:ilvl w:val="0"/>
          <w:numId w:val="4"/>
        </w:numPr>
        <w:jc w:val="both"/>
        <w:rPr>
          <w:sz w:val="22"/>
          <w:szCs w:val="22"/>
        </w:rPr>
      </w:pPr>
      <w:r>
        <w:rPr>
          <w:rFonts w:ascii="Calibri" w:eastAsia="Calibri" w:hAnsi="Calibri" w:cs="Calibri"/>
          <w:sz w:val="22"/>
          <w:szCs w:val="22"/>
        </w:rPr>
        <w:t xml:space="preserve">Contribute to the </w:t>
      </w:r>
      <w:r>
        <w:rPr>
          <w:rFonts w:ascii="Calibri" w:eastAsia="Calibri" w:hAnsi="Calibri" w:cs="Calibri"/>
          <w:b/>
          <w:color w:val="008000"/>
          <w:sz w:val="22"/>
          <w:szCs w:val="22"/>
        </w:rPr>
        <w:t>Knowledge Transfer</w:t>
      </w:r>
      <w:r>
        <w:rPr>
          <w:rFonts w:ascii="Calibri" w:eastAsia="Calibri" w:hAnsi="Calibri" w:cs="Calibri"/>
          <w:sz w:val="22"/>
          <w:szCs w:val="22"/>
        </w:rPr>
        <w:t xml:space="preserve"> among generations of nuclear professionals.</w:t>
      </w:r>
    </w:p>
    <w:p w:rsidR="0036030F" w:rsidRDefault="00D44CD0">
      <w:pPr>
        <w:numPr>
          <w:ilvl w:val="0"/>
          <w:numId w:val="4"/>
        </w:numPr>
        <w:jc w:val="both"/>
        <w:rPr>
          <w:sz w:val="22"/>
          <w:szCs w:val="22"/>
        </w:rPr>
      </w:pPr>
      <w:r>
        <w:rPr>
          <w:rFonts w:ascii="Calibri" w:eastAsia="Calibri" w:hAnsi="Calibri" w:cs="Calibri"/>
          <w:sz w:val="22"/>
          <w:szCs w:val="22"/>
        </w:rPr>
        <w:t xml:space="preserve">Provide opportunities for members to </w:t>
      </w:r>
      <w:r>
        <w:rPr>
          <w:rFonts w:ascii="Calibri" w:eastAsia="Calibri" w:hAnsi="Calibri" w:cs="Calibri"/>
          <w:b/>
          <w:color w:val="008000"/>
          <w:sz w:val="22"/>
          <w:szCs w:val="22"/>
        </w:rPr>
        <w:t>Network</w:t>
      </w:r>
      <w:r>
        <w:rPr>
          <w:rFonts w:ascii="Calibri" w:eastAsia="Calibri" w:hAnsi="Calibri" w:cs="Calibri"/>
          <w:sz w:val="22"/>
          <w:szCs w:val="22"/>
        </w:rPr>
        <w:t>.</w:t>
      </w:r>
    </w:p>
    <w:p w:rsidR="0036030F" w:rsidRDefault="00D44CD0">
      <w:pPr>
        <w:rPr>
          <w:rFonts w:ascii="Calibri" w:eastAsia="Calibri" w:hAnsi="Calibri" w:cs="Calibri"/>
          <w:sz w:val="22"/>
          <w:szCs w:val="22"/>
        </w:rPr>
      </w:pPr>
      <w:r>
        <w:rPr>
          <w:rFonts w:ascii="Calibri" w:eastAsia="Calibri" w:hAnsi="Calibri" w:cs="Calibri"/>
          <w:sz w:val="22"/>
          <w:szCs w:val="22"/>
        </w:rPr>
        <w:t>The target audience for previous NAYGN surveys has been the NAYGN member</w:t>
      </w:r>
      <w:r>
        <w:rPr>
          <w:rFonts w:ascii="Calibri" w:eastAsia="Calibri" w:hAnsi="Calibri" w:cs="Calibri"/>
          <w:sz w:val="22"/>
          <w:szCs w:val="22"/>
        </w:rPr>
        <w:t xml:space="preserve">ship; however, future surveys may expand the target audience, as appropriate.  </w:t>
      </w:r>
    </w:p>
    <w:p w:rsidR="0036030F" w:rsidRDefault="0036030F">
      <w:pPr>
        <w:rPr>
          <w:rFonts w:ascii="Calibri" w:eastAsia="Calibri" w:hAnsi="Calibri" w:cs="Calibri"/>
          <w:sz w:val="22"/>
          <w:szCs w:val="22"/>
        </w:rPr>
      </w:pPr>
    </w:p>
    <w:p w:rsidR="0036030F" w:rsidRDefault="00D44CD0">
      <w:pPr>
        <w:rPr>
          <w:rFonts w:ascii="Calibri" w:eastAsia="Calibri" w:hAnsi="Calibri" w:cs="Calibri"/>
          <w:sz w:val="22"/>
          <w:szCs w:val="22"/>
        </w:rPr>
      </w:pPr>
      <w:r>
        <w:rPr>
          <w:rFonts w:ascii="Calibri" w:eastAsia="Calibri" w:hAnsi="Calibri" w:cs="Calibri"/>
          <w:b/>
          <w:sz w:val="22"/>
          <w:szCs w:val="22"/>
        </w:rPr>
        <w:t xml:space="preserve">Core Sponsor:  </w:t>
      </w:r>
      <w:r>
        <w:rPr>
          <w:rFonts w:ascii="Calibri" w:eastAsia="Calibri" w:hAnsi="Calibri" w:cs="Calibri"/>
          <w:sz w:val="22"/>
          <w:szCs w:val="22"/>
        </w:rPr>
        <w:t>NAYGN Vice President</w:t>
      </w:r>
    </w:p>
    <w:p w:rsidR="0036030F" w:rsidRDefault="00D44CD0">
      <w:pPr>
        <w:rPr>
          <w:rFonts w:ascii="Calibri" w:eastAsia="Calibri" w:hAnsi="Calibri" w:cs="Calibri"/>
          <w:color w:val="FF0000"/>
          <w:sz w:val="22"/>
          <w:szCs w:val="22"/>
        </w:rPr>
      </w:pPr>
      <w:r>
        <w:rPr>
          <w:rFonts w:ascii="Calibri" w:eastAsia="Calibri" w:hAnsi="Calibri" w:cs="Calibri"/>
          <w:sz w:val="22"/>
          <w:szCs w:val="22"/>
        </w:rPr>
        <w:t>Christine Johnsen, Christine.Johnsen@duke-energy.com,</w:t>
      </w:r>
      <w:r>
        <w:rPr>
          <w:rFonts w:ascii="Calibri" w:eastAsia="Calibri" w:hAnsi="Calibri" w:cs="Calibri"/>
          <w:color w:val="FF0000"/>
          <w:sz w:val="22"/>
          <w:szCs w:val="22"/>
        </w:rPr>
        <w:t xml:space="preserve"> </w:t>
      </w:r>
      <w:r w:rsidRPr="006F2A5F">
        <w:rPr>
          <w:rFonts w:ascii="Calibri" w:eastAsia="Calibri" w:hAnsi="Calibri" w:cs="Calibri"/>
          <w:color w:val="auto"/>
          <w:sz w:val="22"/>
          <w:szCs w:val="22"/>
        </w:rPr>
        <w:t>631-871-6637</w:t>
      </w:r>
    </w:p>
    <w:p w:rsidR="0036030F" w:rsidRDefault="0036030F">
      <w:pPr>
        <w:rPr>
          <w:rFonts w:ascii="Calibri" w:eastAsia="Calibri" w:hAnsi="Calibri" w:cs="Calibri"/>
          <w:b/>
          <w:sz w:val="22"/>
          <w:szCs w:val="22"/>
        </w:rPr>
      </w:pPr>
    </w:p>
    <w:p w:rsidR="0036030F" w:rsidRDefault="00D44CD0">
      <w:pPr>
        <w:rPr>
          <w:rFonts w:ascii="Calibri" w:eastAsia="Calibri" w:hAnsi="Calibri" w:cs="Calibri"/>
          <w:b/>
          <w:sz w:val="22"/>
          <w:szCs w:val="22"/>
        </w:rPr>
      </w:pPr>
      <w:r>
        <w:rPr>
          <w:rFonts w:ascii="Calibri" w:eastAsia="Calibri" w:hAnsi="Calibri" w:cs="Calibri"/>
          <w:b/>
          <w:sz w:val="22"/>
          <w:szCs w:val="22"/>
        </w:rPr>
        <w:t xml:space="preserve">Committee Lead:  </w:t>
      </w:r>
    </w:p>
    <w:p w:rsidR="0036030F" w:rsidRDefault="00D44CD0">
      <w:pPr>
        <w:rPr>
          <w:rFonts w:ascii="Calibri" w:eastAsia="Calibri" w:hAnsi="Calibri" w:cs="Calibri"/>
          <w:sz w:val="22"/>
          <w:szCs w:val="22"/>
        </w:rPr>
      </w:pPr>
      <w:r>
        <w:rPr>
          <w:rFonts w:ascii="Calibri" w:eastAsia="Calibri" w:hAnsi="Calibri" w:cs="Calibri"/>
          <w:sz w:val="22"/>
          <w:szCs w:val="22"/>
        </w:rPr>
        <w:t>Paul Balik, Paul.Balik@rolls-royce.com, 412-865-3040,</w:t>
      </w:r>
      <w:r>
        <w:rPr>
          <w:rFonts w:ascii="Calibri" w:eastAsia="Calibri" w:hAnsi="Calibri" w:cs="Calibri"/>
          <w:sz w:val="22"/>
          <w:szCs w:val="22"/>
        </w:rPr>
        <w:t xml:space="preserve"> ext. 142</w:t>
      </w:r>
    </w:p>
    <w:p w:rsidR="0036030F" w:rsidRDefault="0036030F">
      <w:pPr>
        <w:rPr>
          <w:rFonts w:ascii="Calibri" w:eastAsia="Calibri" w:hAnsi="Calibri" w:cs="Calibri"/>
          <w:sz w:val="22"/>
          <w:szCs w:val="22"/>
        </w:rPr>
      </w:pPr>
    </w:p>
    <w:p w:rsidR="0036030F" w:rsidRDefault="00D44CD0">
      <w:pPr>
        <w:numPr>
          <w:ilvl w:val="0"/>
          <w:numId w:val="3"/>
        </w:numPr>
        <w:rPr>
          <w:sz w:val="22"/>
          <w:szCs w:val="22"/>
        </w:rPr>
      </w:pPr>
      <w:r>
        <w:rPr>
          <w:rFonts w:ascii="Calibri" w:eastAsia="Calibri" w:hAnsi="Calibri" w:cs="Calibri"/>
          <w:b/>
          <w:sz w:val="22"/>
          <w:szCs w:val="22"/>
        </w:rPr>
        <w:t xml:space="preserve">Survey Sub-Committee Leads : </w:t>
      </w:r>
    </w:p>
    <w:p w:rsidR="0036030F" w:rsidRDefault="00D44CD0">
      <w:pPr>
        <w:numPr>
          <w:ilvl w:val="1"/>
          <w:numId w:val="3"/>
        </w:numPr>
        <w:rPr>
          <w:sz w:val="22"/>
          <w:szCs w:val="22"/>
        </w:rPr>
      </w:pPr>
      <w:r>
        <w:rPr>
          <w:rFonts w:ascii="Calibri" w:eastAsia="Calibri" w:hAnsi="Calibri" w:cs="Calibri"/>
          <w:sz w:val="22"/>
          <w:szCs w:val="22"/>
        </w:rPr>
        <w:t>Creation and Facilitation </w:t>
      </w:r>
    </w:p>
    <w:p w:rsidR="0036030F" w:rsidRDefault="00D44CD0">
      <w:pPr>
        <w:numPr>
          <w:ilvl w:val="1"/>
          <w:numId w:val="3"/>
        </w:numPr>
        <w:rPr>
          <w:sz w:val="22"/>
          <w:szCs w:val="22"/>
        </w:rPr>
      </w:pPr>
      <w:r>
        <w:rPr>
          <w:rFonts w:ascii="Calibri" w:eastAsia="Calibri" w:hAnsi="Calibri" w:cs="Calibri"/>
          <w:sz w:val="22"/>
          <w:szCs w:val="22"/>
        </w:rPr>
        <w:t>Analysis</w:t>
      </w:r>
    </w:p>
    <w:p w:rsidR="0036030F" w:rsidRDefault="00D44CD0">
      <w:pPr>
        <w:numPr>
          <w:ilvl w:val="1"/>
          <w:numId w:val="3"/>
        </w:numPr>
        <w:rPr>
          <w:sz w:val="22"/>
          <w:szCs w:val="22"/>
        </w:rPr>
      </w:pPr>
      <w:r>
        <w:rPr>
          <w:rFonts w:ascii="Calibri" w:eastAsia="Calibri" w:hAnsi="Calibri" w:cs="Calibri"/>
          <w:sz w:val="22"/>
          <w:szCs w:val="22"/>
        </w:rPr>
        <w:t>Reporting</w:t>
      </w:r>
    </w:p>
    <w:p w:rsidR="0036030F" w:rsidRDefault="0036030F">
      <w:pPr>
        <w:rPr>
          <w:rFonts w:ascii="Calibri" w:eastAsia="Calibri" w:hAnsi="Calibri" w:cs="Calibri"/>
          <w:b/>
          <w:sz w:val="22"/>
          <w:szCs w:val="22"/>
        </w:rPr>
      </w:pPr>
    </w:p>
    <w:tbl>
      <w:tblPr>
        <w:tblStyle w:val="a"/>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3"/>
        <w:gridCol w:w="3610"/>
        <w:gridCol w:w="2700"/>
      </w:tblGrid>
      <w:tr w:rsidR="0036030F">
        <w:trPr>
          <w:jc w:val="center"/>
        </w:trPr>
        <w:tc>
          <w:tcPr>
            <w:tcW w:w="2283" w:type="dxa"/>
          </w:tcPr>
          <w:p w:rsidR="0036030F" w:rsidRDefault="00D44CD0">
            <w:pPr>
              <w:rPr>
                <w:rFonts w:ascii="Calibri" w:eastAsia="Calibri" w:hAnsi="Calibri" w:cs="Calibri"/>
                <w:b/>
              </w:rPr>
            </w:pPr>
            <w:r>
              <w:rPr>
                <w:rFonts w:ascii="Calibri" w:eastAsia="Calibri" w:hAnsi="Calibri" w:cs="Calibri"/>
                <w:b/>
                <w:sz w:val="22"/>
                <w:szCs w:val="22"/>
              </w:rPr>
              <w:t>Committee Members</w:t>
            </w:r>
          </w:p>
        </w:tc>
        <w:tc>
          <w:tcPr>
            <w:tcW w:w="3610" w:type="dxa"/>
          </w:tcPr>
          <w:p w:rsidR="0036030F" w:rsidRDefault="00D44CD0">
            <w:pPr>
              <w:rPr>
                <w:rFonts w:ascii="Calibri" w:eastAsia="Calibri" w:hAnsi="Calibri" w:cs="Calibri"/>
                <w:b/>
              </w:rPr>
            </w:pPr>
            <w:r>
              <w:rPr>
                <w:rFonts w:ascii="Calibri" w:eastAsia="Calibri" w:hAnsi="Calibri" w:cs="Calibri"/>
                <w:b/>
                <w:sz w:val="22"/>
                <w:szCs w:val="22"/>
              </w:rPr>
              <w:t>Email</w:t>
            </w:r>
          </w:p>
        </w:tc>
        <w:tc>
          <w:tcPr>
            <w:tcW w:w="2700" w:type="dxa"/>
          </w:tcPr>
          <w:p w:rsidR="0036030F" w:rsidRDefault="00D44CD0">
            <w:pPr>
              <w:rPr>
                <w:rFonts w:ascii="Calibri" w:eastAsia="Calibri" w:hAnsi="Calibri" w:cs="Calibri"/>
                <w:b/>
              </w:rPr>
            </w:pPr>
            <w:r>
              <w:rPr>
                <w:rFonts w:ascii="Calibri" w:eastAsia="Calibri" w:hAnsi="Calibri" w:cs="Calibri"/>
                <w:b/>
                <w:sz w:val="22"/>
                <w:szCs w:val="22"/>
              </w:rPr>
              <w:t>Phone number</w:t>
            </w:r>
          </w:p>
        </w:tc>
      </w:tr>
      <w:tr w:rsidR="0036030F">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sz w:val="22"/>
                <w:szCs w:val="22"/>
              </w:rPr>
            </w:pPr>
            <w:r>
              <w:rPr>
                <w:rFonts w:ascii="Calibri" w:eastAsia="Calibri" w:hAnsi="Calibri" w:cs="Calibri"/>
                <w:sz w:val="22"/>
                <w:szCs w:val="22"/>
              </w:rPr>
              <w:t>Justin Frost</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color w:val="0000FF"/>
                <w:sz w:val="22"/>
                <w:szCs w:val="22"/>
                <w:u w:val="single"/>
              </w:rPr>
            </w:pPr>
            <w:r>
              <w:rPr>
                <w:rFonts w:ascii="Calibri" w:eastAsia="Calibri" w:hAnsi="Calibri" w:cs="Calibri"/>
                <w:color w:val="0000FF"/>
                <w:sz w:val="22"/>
                <w:szCs w:val="22"/>
                <w:u w:val="single"/>
              </w:rPr>
              <w:t>jfrost@entergy.com</w:t>
            </w:r>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color w:val="1F497D"/>
                <w:sz w:val="22"/>
                <w:szCs w:val="22"/>
              </w:rPr>
            </w:pPr>
            <w:r w:rsidRPr="006F2A5F">
              <w:rPr>
                <w:rFonts w:ascii="Calibri" w:eastAsia="Calibri" w:hAnsi="Calibri" w:cs="Calibri"/>
                <w:color w:val="auto"/>
                <w:sz w:val="22"/>
                <w:szCs w:val="22"/>
              </w:rPr>
              <w:t>225-378-3337</w:t>
            </w:r>
          </w:p>
        </w:tc>
      </w:tr>
      <w:tr w:rsidR="0036030F">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sz w:val="22"/>
                <w:szCs w:val="22"/>
              </w:rPr>
            </w:pPr>
            <w:r>
              <w:rPr>
                <w:rFonts w:ascii="Calibri" w:eastAsia="Calibri" w:hAnsi="Calibri" w:cs="Calibri"/>
                <w:sz w:val="22"/>
                <w:szCs w:val="22"/>
              </w:rPr>
              <w:t>Glen Lawson</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color w:val="0000FF"/>
                <w:sz w:val="22"/>
                <w:szCs w:val="22"/>
                <w:u w:val="single"/>
              </w:rPr>
            </w:pPr>
            <w:r>
              <w:rPr>
                <w:rFonts w:ascii="Calibri" w:eastAsia="Calibri" w:hAnsi="Calibri" w:cs="Calibri"/>
                <w:color w:val="0000FF"/>
                <w:sz w:val="22"/>
                <w:szCs w:val="22"/>
                <w:u w:val="single"/>
              </w:rPr>
              <w:t>Glen.Lawson@duke-energy.com</w:t>
            </w:r>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36030F">
            <w:pPr>
              <w:rPr>
                <w:rFonts w:ascii="Calibri" w:eastAsia="Calibri" w:hAnsi="Calibri" w:cs="Calibri"/>
                <w:color w:val="FF0000"/>
                <w:sz w:val="22"/>
                <w:szCs w:val="22"/>
              </w:rPr>
            </w:pPr>
          </w:p>
        </w:tc>
      </w:tr>
      <w:tr w:rsidR="0036030F">
        <w:trPr>
          <w:jc w:val="center"/>
        </w:trPr>
        <w:tc>
          <w:tcPr>
            <w:tcW w:w="22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sz w:val="22"/>
                <w:szCs w:val="22"/>
              </w:rPr>
            </w:pPr>
            <w:r>
              <w:rPr>
                <w:rFonts w:ascii="Calibri" w:eastAsia="Calibri" w:hAnsi="Calibri" w:cs="Calibri"/>
                <w:sz w:val="22"/>
                <w:szCs w:val="22"/>
              </w:rPr>
              <w:t>Matthew Mairinger</w:t>
            </w:r>
          </w:p>
        </w:tc>
        <w:tc>
          <w:tcPr>
            <w:tcW w:w="361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color w:val="0000FF"/>
                <w:sz w:val="22"/>
                <w:szCs w:val="22"/>
                <w:u w:val="single"/>
              </w:rPr>
            </w:pPr>
            <w:r>
              <w:rPr>
                <w:rFonts w:ascii="Calibri" w:eastAsia="Calibri" w:hAnsi="Calibri" w:cs="Calibri"/>
                <w:color w:val="0000FF"/>
                <w:sz w:val="22"/>
                <w:szCs w:val="22"/>
                <w:u w:val="single"/>
              </w:rPr>
              <w:t>Matthew.Mairinger@opg.com</w:t>
            </w:r>
          </w:p>
        </w:tc>
        <w:tc>
          <w:tcPr>
            <w:tcW w:w="2700" w:type="dxa"/>
            <w:tcBorders>
              <w:top w:val="nil"/>
              <w:left w:val="nil"/>
              <w:bottom w:val="single" w:sz="6" w:space="0" w:color="000000"/>
              <w:right w:val="single" w:sz="6" w:space="0" w:color="000000"/>
            </w:tcBorders>
            <w:tcMar>
              <w:top w:w="100" w:type="dxa"/>
              <w:left w:w="100" w:type="dxa"/>
              <w:bottom w:w="100" w:type="dxa"/>
              <w:right w:w="100" w:type="dxa"/>
            </w:tcMar>
          </w:tcPr>
          <w:p w:rsidR="0036030F" w:rsidRDefault="00D44CD0">
            <w:pPr>
              <w:rPr>
                <w:rFonts w:ascii="Calibri" w:eastAsia="Calibri" w:hAnsi="Calibri" w:cs="Calibri"/>
                <w:sz w:val="22"/>
                <w:szCs w:val="22"/>
              </w:rPr>
            </w:pPr>
            <w:r w:rsidRPr="006F2A5F">
              <w:rPr>
                <w:rFonts w:ascii="Calibri" w:eastAsia="Calibri" w:hAnsi="Calibri" w:cs="Calibri"/>
                <w:color w:val="auto"/>
                <w:sz w:val="22"/>
                <w:szCs w:val="22"/>
              </w:rPr>
              <w:t>+1-905-244-6242</w:t>
            </w:r>
          </w:p>
        </w:tc>
      </w:tr>
      <w:tr w:rsidR="0036030F">
        <w:trPr>
          <w:trHeight w:val="480"/>
          <w:jc w:val="center"/>
        </w:trPr>
        <w:tc>
          <w:tcPr>
            <w:tcW w:w="2283" w:type="dxa"/>
            <w:vAlign w:val="center"/>
          </w:tcPr>
          <w:p w:rsidR="0036030F" w:rsidRDefault="00D44CD0">
            <w:pPr>
              <w:rPr>
                <w:rFonts w:ascii="Calibri" w:eastAsia="Calibri" w:hAnsi="Calibri" w:cs="Calibri"/>
                <w:sz w:val="22"/>
                <w:szCs w:val="22"/>
              </w:rPr>
            </w:pPr>
            <w:r>
              <w:rPr>
                <w:rFonts w:ascii="Calibri" w:eastAsia="Calibri" w:hAnsi="Calibri" w:cs="Calibri"/>
                <w:sz w:val="22"/>
                <w:szCs w:val="22"/>
              </w:rPr>
              <w:t>Natalie Wood</w:t>
            </w:r>
          </w:p>
        </w:tc>
        <w:tc>
          <w:tcPr>
            <w:tcW w:w="3610" w:type="dxa"/>
            <w:vAlign w:val="center"/>
          </w:tcPr>
          <w:p w:rsidR="0036030F" w:rsidRDefault="00D44CD0">
            <w:pPr>
              <w:rPr>
                <w:rFonts w:ascii="Calibri" w:eastAsia="Calibri" w:hAnsi="Calibri" w:cs="Calibri"/>
                <w:sz w:val="22"/>
                <w:szCs w:val="22"/>
              </w:rPr>
            </w:pPr>
            <w:hyperlink r:id="rId7">
              <w:r>
                <w:rPr>
                  <w:rFonts w:ascii="Calibri" w:eastAsia="Calibri" w:hAnsi="Calibri" w:cs="Calibri"/>
                  <w:sz w:val="22"/>
                  <w:szCs w:val="22"/>
                </w:rPr>
                <w:t>nwood@entergy.com</w:t>
              </w:r>
            </w:hyperlink>
          </w:p>
        </w:tc>
        <w:tc>
          <w:tcPr>
            <w:tcW w:w="2700" w:type="dxa"/>
            <w:vAlign w:val="center"/>
          </w:tcPr>
          <w:p w:rsidR="0036030F" w:rsidRDefault="0036030F">
            <w:pPr>
              <w:rPr>
                <w:rFonts w:ascii="Calibri" w:eastAsia="Calibri" w:hAnsi="Calibri" w:cs="Calibri"/>
                <w:sz w:val="22"/>
                <w:szCs w:val="22"/>
              </w:rPr>
            </w:pPr>
          </w:p>
        </w:tc>
      </w:tr>
    </w:tbl>
    <w:p w:rsidR="0036030F" w:rsidRDefault="0036030F">
      <w:pPr>
        <w:rPr>
          <w:rFonts w:ascii="Calibri" w:eastAsia="Calibri" w:hAnsi="Calibri" w:cs="Calibri"/>
          <w:b/>
          <w:sz w:val="22"/>
          <w:szCs w:val="22"/>
        </w:rPr>
      </w:pPr>
    </w:p>
    <w:p w:rsidR="0036030F" w:rsidRDefault="00D44CD0">
      <w:pPr>
        <w:rPr>
          <w:rFonts w:ascii="Calibri" w:eastAsia="Calibri" w:hAnsi="Calibri" w:cs="Calibri"/>
          <w:b/>
          <w:sz w:val="22"/>
          <w:szCs w:val="22"/>
        </w:rPr>
      </w:pPr>
      <w:r>
        <w:br w:type="page"/>
      </w:r>
    </w:p>
    <w:p w:rsidR="0036030F" w:rsidRDefault="00D44CD0">
      <w:pPr>
        <w:rPr>
          <w:rFonts w:ascii="Calibri" w:eastAsia="Calibri" w:hAnsi="Calibri" w:cs="Calibri"/>
          <w:b/>
          <w:sz w:val="22"/>
          <w:szCs w:val="22"/>
        </w:rPr>
      </w:pPr>
      <w:r>
        <w:rPr>
          <w:rFonts w:ascii="Calibri" w:eastAsia="Calibri" w:hAnsi="Calibri" w:cs="Calibri"/>
          <w:b/>
          <w:sz w:val="22"/>
          <w:szCs w:val="22"/>
        </w:rPr>
        <w:lastRenderedPageBreak/>
        <w:t>Roles and Responsibilities</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Develop surveys based on input from the NAYGN core.  The NAYGN core sponsor is responsible for defining the survey topics and the target audience.  The benchmarking committee is responsible for the content development of the surveys.  </w:t>
      </w:r>
    </w:p>
    <w:p w:rsidR="0036030F" w:rsidRDefault="00D44CD0" w:rsidP="006F2A5F">
      <w:pPr>
        <w:numPr>
          <w:ilvl w:val="0"/>
          <w:numId w:val="2"/>
        </w:numPr>
        <w:ind w:left="720"/>
        <w:rPr>
          <w:rFonts w:ascii="Calibri" w:eastAsia="Calibri" w:hAnsi="Calibri" w:cs="Calibri"/>
          <w:sz w:val="22"/>
          <w:szCs w:val="22"/>
        </w:rPr>
      </w:pPr>
      <w:bookmarkStart w:id="1" w:name="_GoBack"/>
      <w:r>
        <w:rPr>
          <w:rFonts w:ascii="Calibri" w:eastAsia="Calibri" w:hAnsi="Calibri" w:cs="Calibri"/>
          <w:sz w:val="22"/>
          <w:szCs w:val="22"/>
        </w:rPr>
        <w:t>Administer surveys t</w:t>
      </w:r>
      <w:r>
        <w:rPr>
          <w:rFonts w:ascii="Calibri" w:eastAsia="Calibri" w:hAnsi="Calibri" w:cs="Calibri"/>
          <w:sz w:val="22"/>
          <w:szCs w:val="22"/>
        </w:rPr>
        <w:t>hrough the NAYGN Survey Monkey account:</w:t>
      </w:r>
      <w:r>
        <w:t xml:space="preserve"> </w:t>
      </w:r>
      <w:hyperlink r:id="rId8">
        <w:r>
          <w:rPr>
            <w:rFonts w:ascii="Calibri" w:eastAsia="Calibri" w:hAnsi="Calibri" w:cs="Calibri"/>
            <w:color w:val="0000FF"/>
            <w:sz w:val="22"/>
            <w:szCs w:val="22"/>
            <w:u w:val="single"/>
          </w:rPr>
          <w:t>http://www.surveymonkey.com/</w:t>
        </w:r>
      </w:hyperlink>
      <w:r>
        <w:rPr>
          <w:rFonts w:ascii="Calibri" w:eastAsia="Calibri" w:hAnsi="Calibri" w:cs="Calibri"/>
          <w:sz w:val="22"/>
          <w:szCs w:val="22"/>
        </w:rPr>
        <w:t>.  The benchmarking committee lead is the only person allowed to access the account (in addition to the NAYGN Core), for privacy reasons.  A</w:t>
      </w:r>
      <w:r>
        <w:rPr>
          <w:rFonts w:ascii="Calibri" w:eastAsia="Calibri" w:hAnsi="Calibri" w:cs="Calibri"/>
          <w:sz w:val="22"/>
          <w:szCs w:val="22"/>
        </w:rPr>
        <w:t xml:space="preserve">ny committee members who have access to raw survey data must take the utmost care to maintain the privacy of survey respondents.  </w:t>
      </w:r>
    </w:p>
    <w:bookmarkEnd w:id="1"/>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Communicate with the survey target audience to promote participation.  For NAYGN member surveys, communication should be done</w:t>
      </w:r>
      <w:r>
        <w:rPr>
          <w:rFonts w:ascii="Calibri" w:eastAsia="Calibri" w:hAnsi="Calibri" w:cs="Calibri"/>
          <w:sz w:val="22"/>
          <w:szCs w:val="22"/>
        </w:rPr>
        <w:t xml:space="preserve"> through the bi-weekly NAYGN membership announcements, the GoNuke! newsletter/blog, or “Local Chapter Lead” briefs that are sent out to chapter leads via the NAYGN Affairs Chairs.  Additional communication through NAYGN social media should be considered an</w:t>
      </w:r>
      <w:r>
        <w:rPr>
          <w:rFonts w:ascii="Calibri" w:eastAsia="Calibri" w:hAnsi="Calibri" w:cs="Calibri"/>
          <w:sz w:val="22"/>
          <w:szCs w:val="22"/>
        </w:rPr>
        <w:t xml:space="preserve">d pursued, as appropriate.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Analyze survey results.  Maintain privacy and anonymity for survey respondents.  Analyze all results in an ethical and fair manner.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Compile survey results into a report.  Present all results and comments in a fair and appropr</w:t>
      </w:r>
      <w:r>
        <w:rPr>
          <w:rFonts w:ascii="Calibri" w:eastAsia="Calibri" w:hAnsi="Calibri" w:cs="Calibri"/>
          <w:sz w:val="22"/>
          <w:szCs w:val="22"/>
        </w:rPr>
        <w:t xml:space="preserve">iate manner.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Publicize and distribute the survey results.  All benchmarking surveys shall be made available to NAYGN members, nuclear utilities and companies, government agencies, universities, and any other interested parties.  Committee members may be </w:t>
      </w:r>
      <w:r>
        <w:rPr>
          <w:rFonts w:ascii="Calibri" w:eastAsia="Calibri" w:hAnsi="Calibri" w:cs="Calibri"/>
          <w:sz w:val="22"/>
          <w:szCs w:val="22"/>
        </w:rPr>
        <w:t xml:space="preserve">asked to present the results of their report(s) at industry conferences or other venues.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Maintain regular communications within the benchmarking committee.  Provide regular updates to the NAYGN Vice President.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Identify and communicate areas of concern </w:t>
      </w:r>
      <w:r>
        <w:rPr>
          <w:rFonts w:ascii="Calibri" w:eastAsia="Calibri" w:hAnsi="Calibri" w:cs="Calibri"/>
          <w:sz w:val="22"/>
          <w:szCs w:val="22"/>
        </w:rPr>
        <w:t xml:space="preserve">or opportunities for improvement within the Benchmarking Committee.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Committee Sponsor: Attend the yearly NAYGN Core meeting to provide a committee report-out.  </w:t>
      </w:r>
    </w:p>
    <w:p w:rsidR="0036030F" w:rsidRDefault="00D44CD0">
      <w:pPr>
        <w:numPr>
          <w:ilvl w:val="0"/>
          <w:numId w:val="2"/>
        </w:numPr>
        <w:ind w:left="720"/>
        <w:jc w:val="both"/>
        <w:rPr>
          <w:rFonts w:ascii="Calibri" w:eastAsia="Calibri" w:hAnsi="Calibri" w:cs="Calibri"/>
          <w:sz w:val="22"/>
          <w:szCs w:val="22"/>
        </w:rPr>
      </w:pPr>
      <w:r>
        <w:rPr>
          <w:rFonts w:ascii="Calibri" w:eastAsia="Calibri" w:hAnsi="Calibri" w:cs="Calibri"/>
          <w:sz w:val="22"/>
          <w:szCs w:val="22"/>
        </w:rPr>
        <w:t xml:space="preserve">Maintain the Benchmarking Committee Charter current by reviewing and, if necessary, revising </w:t>
      </w:r>
      <w:r>
        <w:rPr>
          <w:rFonts w:ascii="Calibri" w:eastAsia="Calibri" w:hAnsi="Calibri" w:cs="Calibri"/>
          <w:sz w:val="22"/>
          <w:szCs w:val="22"/>
        </w:rPr>
        <w:t xml:space="preserve">it biennially at a minimum. </w:t>
      </w:r>
    </w:p>
    <w:p w:rsidR="0036030F" w:rsidRDefault="0036030F">
      <w:pPr>
        <w:rPr>
          <w:rFonts w:ascii="Calibri" w:eastAsia="Calibri" w:hAnsi="Calibri" w:cs="Calibri"/>
          <w:sz w:val="22"/>
          <w:szCs w:val="22"/>
        </w:rPr>
      </w:pPr>
    </w:p>
    <w:p w:rsidR="0036030F" w:rsidRDefault="00D44CD0">
      <w:pPr>
        <w:rPr>
          <w:rFonts w:ascii="Calibri" w:eastAsia="Calibri" w:hAnsi="Calibri" w:cs="Calibri"/>
          <w:b/>
          <w:sz w:val="22"/>
          <w:szCs w:val="22"/>
        </w:rPr>
      </w:pPr>
      <w:r>
        <w:rPr>
          <w:rFonts w:ascii="Calibri" w:eastAsia="Calibri" w:hAnsi="Calibri" w:cs="Calibri"/>
          <w:b/>
          <w:sz w:val="22"/>
          <w:szCs w:val="22"/>
        </w:rPr>
        <w:t>Past NAYGN Surveys</w:t>
      </w:r>
    </w:p>
    <w:p w:rsidR="0036030F" w:rsidRDefault="00D44CD0">
      <w:pPr>
        <w:rPr>
          <w:rFonts w:ascii="Calibri" w:eastAsia="Calibri" w:hAnsi="Calibri" w:cs="Calibri"/>
          <w:sz w:val="22"/>
          <w:szCs w:val="22"/>
        </w:rPr>
      </w:pPr>
      <w:r>
        <w:rPr>
          <w:rFonts w:ascii="Calibri" w:eastAsia="Calibri" w:hAnsi="Calibri" w:cs="Calibri"/>
          <w:sz w:val="22"/>
          <w:szCs w:val="22"/>
        </w:rPr>
        <w:t xml:space="preserve">Past NAYGN surveys are posted on the website: </w:t>
      </w:r>
      <w:hyperlink r:id="rId9">
        <w:r>
          <w:rPr>
            <w:rFonts w:ascii="Calibri" w:eastAsia="Calibri" w:hAnsi="Calibri" w:cs="Calibri"/>
            <w:color w:val="0000FF"/>
            <w:sz w:val="22"/>
            <w:szCs w:val="22"/>
            <w:u w:val="single"/>
          </w:rPr>
          <w:t>http://naygn.org/resources/naygn-org-documents/</w:t>
        </w:r>
      </w:hyperlink>
      <w:r>
        <w:rPr>
          <w:rFonts w:ascii="Calibri" w:eastAsia="Calibri" w:hAnsi="Calibri" w:cs="Calibri"/>
          <w:sz w:val="22"/>
          <w:szCs w:val="22"/>
        </w:rPr>
        <w:t xml:space="preserve"> </w:t>
      </w:r>
    </w:p>
    <w:p w:rsidR="0036030F" w:rsidRDefault="00D44CD0">
      <w:pPr>
        <w:numPr>
          <w:ilvl w:val="0"/>
          <w:numId w:val="1"/>
        </w:numPr>
        <w:rPr>
          <w:sz w:val="22"/>
          <w:szCs w:val="22"/>
        </w:rPr>
      </w:pPr>
      <w:r>
        <w:rPr>
          <w:rFonts w:ascii="Calibri" w:eastAsia="Calibri" w:hAnsi="Calibri" w:cs="Calibri"/>
          <w:sz w:val="22"/>
          <w:szCs w:val="22"/>
        </w:rPr>
        <w:t>“Addressing the Challenges Facing the Young G</w:t>
      </w:r>
      <w:r>
        <w:rPr>
          <w:rFonts w:ascii="Calibri" w:eastAsia="Calibri" w:hAnsi="Calibri" w:cs="Calibri"/>
          <w:sz w:val="22"/>
          <w:szCs w:val="22"/>
        </w:rPr>
        <w:t xml:space="preserve">eneration in Nuclear,” November 17, 2004.  This survey was conducted at the 2004 ANS winter meeting.  Revision 1 was issued in April 2005.  </w:t>
      </w:r>
    </w:p>
    <w:p w:rsidR="0036030F" w:rsidRDefault="00D44CD0">
      <w:pPr>
        <w:numPr>
          <w:ilvl w:val="0"/>
          <w:numId w:val="1"/>
        </w:numPr>
        <w:rPr>
          <w:sz w:val="22"/>
          <w:szCs w:val="22"/>
        </w:rPr>
      </w:pPr>
      <w:r>
        <w:rPr>
          <w:rFonts w:ascii="Calibri" w:eastAsia="Calibri" w:hAnsi="Calibri" w:cs="Calibri"/>
          <w:sz w:val="22"/>
          <w:szCs w:val="22"/>
        </w:rPr>
        <w:t>“2006 Recruitment &amp; Retention Benchmarking Survey Report,” November 2006.  Contains salary data plus written commen</w:t>
      </w:r>
      <w:r>
        <w:rPr>
          <w:rFonts w:ascii="Calibri" w:eastAsia="Calibri" w:hAnsi="Calibri" w:cs="Calibri"/>
          <w:sz w:val="22"/>
          <w:szCs w:val="22"/>
        </w:rPr>
        <w:t>ts.</w:t>
      </w:r>
    </w:p>
    <w:p w:rsidR="0036030F" w:rsidRDefault="00D44CD0">
      <w:pPr>
        <w:numPr>
          <w:ilvl w:val="0"/>
          <w:numId w:val="1"/>
        </w:numPr>
        <w:rPr>
          <w:sz w:val="22"/>
          <w:szCs w:val="22"/>
        </w:rPr>
      </w:pPr>
      <w:r>
        <w:rPr>
          <w:rFonts w:ascii="Calibri" w:eastAsia="Calibri" w:hAnsi="Calibri" w:cs="Calibri"/>
          <w:sz w:val="22"/>
          <w:szCs w:val="22"/>
        </w:rPr>
        <w:t>“2007 Recruitment &amp; Retention Benchmarking Survey Report,” February 2008.  Contains salary data plus written comments.</w:t>
      </w:r>
    </w:p>
    <w:p w:rsidR="0036030F" w:rsidRDefault="00D44CD0">
      <w:pPr>
        <w:numPr>
          <w:ilvl w:val="0"/>
          <w:numId w:val="1"/>
        </w:numPr>
        <w:rPr>
          <w:sz w:val="22"/>
          <w:szCs w:val="22"/>
        </w:rPr>
      </w:pPr>
      <w:r>
        <w:rPr>
          <w:rFonts w:ascii="Calibri" w:eastAsia="Calibri" w:hAnsi="Calibri" w:cs="Calibri"/>
          <w:sz w:val="22"/>
          <w:szCs w:val="22"/>
        </w:rPr>
        <w:t>“What’s Critical to Your Success?” Issued January 29, 2007.  Contains information about young professionals’ work environment and ski</w:t>
      </w:r>
      <w:r>
        <w:rPr>
          <w:rFonts w:ascii="Calibri" w:eastAsia="Calibri" w:hAnsi="Calibri" w:cs="Calibri"/>
          <w:sz w:val="22"/>
          <w:szCs w:val="22"/>
        </w:rPr>
        <w:t xml:space="preserve">lls.  </w:t>
      </w:r>
    </w:p>
    <w:p w:rsidR="0036030F" w:rsidRDefault="00D44CD0">
      <w:pPr>
        <w:numPr>
          <w:ilvl w:val="0"/>
          <w:numId w:val="1"/>
        </w:numPr>
        <w:rPr>
          <w:sz w:val="22"/>
          <w:szCs w:val="22"/>
        </w:rPr>
      </w:pPr>
      <w:r>
        <w:rPr>
          <w:rFonts w:ascii="Calibri" w:eastAsia="Calibri" w:hAnsi="Calibri" w:cs="Calibri"/>
          <w:sz w:val="22"/>
          <w:szCs w:val="22"/>
        </w:rPr>
        <w:t xml:space="preserve">“What’s Critical to Your Success?” Issued April 22, 2008.  Contains information about young professionals’ work environment and skills.  </w:t>
      </w:r>
    </w:p>
    <w:p w:rsidR="0036030F" w:rsidRDefault="00D44CD0">
      <w:pPr>
        <w:numPr>
          <w:ilvl w:val="0"/>
          <w:numId w:val="1"/>
        </w:numPr>
        <w:rPr>
          <w:sz w:val="22"/>
          <w:szCs w:val="22"/>
        </w:rPr>
      </w:pPr>
      <w:r>
        <w:rPr>
          <w:rFonts w:ascii="Calibri" w:eastAsia="Calibri" w:hAnsi="Calibri" w:cs="Calibri"/>
          <w:sz w:val="22"/>
          <w:szCs w:val="22"/>
        </w:rPr>
        <w:lastRenderedPageBreak/>
        <w:t xml:space="preserve">“2008 NAYGN Career Report,” Issued July 2009.  This survey combines the “Critical to Your Success” and Recruiting &amp; Retention / Salary survey topics.  </w:t>
      </w:r>
    </w:p>
    <w:p w:rsidR="0036030F" w:rsidRDefault="00D44CD0">
      <w:pPr>
        <w:numPr>
          <w:ilvl w:val="0"/>
          <w:numId w:val="1"/>
        </w:numPr>
        <w:rPr>
          <w:sz w:val="22"/>
          <w:szCs w:val="22"/>
        </w:rPr>
      </w:pPr>
      <w:r>
        <w:rPr>
          <w:rFonts w:ascii="Calibri" w:eastAsia="Calibri" w:hAnsi="Calibri" w:cs="Calibri"/>
          <w:sz w:val="22"/>
          <w:szCs w:val="22"/>
        </w:rPr>
        <w:t>“2010 NAYGN Knowledge Transfer Survey Report,” August, 2010.  This survey assesses the participation and</w:t>
      </w:r>
      <w:r>
        <w:rPr>
          <w:rFonts w:ascii="Calibri" w:eastAsia="Calibri" w:hAnsi="Calibri" w:cs="Calibri"/>
          <w:sz w:val="22"/>
          <w:szCs w:val="22"/>
        </w:rPr>
        <w:t xml:space="preserve"> effectiveness of knowledge transfer activities in the nuclear industry.</w:t>
      </w:r>
    </w:p>
    <w:p w:rsidR="0036030F" w:rsidRDefault="00D44CD0">
      <w:pPr>
        <w:numPr>
          <w:ilvl w:val="0"/>
          <w:numId w:val="1"/>
        </w:numPr>
        <w:rPr>
          <w:sz w:val="22"/>
          <w:szCs w:val="22"/>
        </w:rPr>
      </w:pPr>
      <w:r>
        <w:rPr>
          <w:rFonts w:ascii="Calibri" w:eastAsia="Calibri" w:hAnsi="Calibri" w:cs="Calibri"/>
          <w:sz w:val="22"/>
          <w:szCs w:val="22"/>
        </w:rPr>
        <w:t xml:space="preserve">“2012 NAYGN Career Report,” Issued May 2012.  </w:t>
      </w:r>
    </w:p>
    <w:p w:rsidR="0036030F" w:rsidRDefault="00D44CD0">
      <w:pPr>
        <w:numPr>
          <w:ilvl w:val="0"/>
          <w:numId w:val="1"/>
        </w:numPr>
        <w:rPr>
          <w:sz w:val="22"/>
          <w:szCs w:val="22"/>
        </w:rPr>
      </w:pPr>
      <w:r>
        <w:rPr>
          <w:rFonts w:ascii="Calibri" w:eastAsia="Calibri" w:hAnsi="Calibri" w:cs="Calibri"/>
          <w:sz w:val="22"/>
          <w:szCs w:val="22"/>
        </w:rPr>
        <w:t xml:space="preserve">“2014 NAYGN Career Report,” Issued April 2014.  </w:t>
      </w:r>
    </w:p>
    <w:p w:rsidR="0036030F" w:rsidRDefault="00D44CD0">
      <w:pPr>
        <w:numPr>
          <w:ilvl w:val="0"/>
          <w:numId w:val="1"/>
        </w:numPr>
        <w:rPr>
          <w:rFonts w:ascii="Calibri" w:eastAsia="Calibri" w:hAnsi="Calibri" w:cs="Calibri"/>
          <w:sz w:val="22"/>
          <w:szCs w:val="22"/>
        </w:rPr>
      </w:pPr>
      <w:r>
        <w:rPr>
          <w:rFonts w:ascii="Calibri" w:eastAsia="Calibri" w:hAnsi="Calibri" w:cs="Calibri"/>
          <w:sz w:val="22"/>
          <w:szCs w:val="22"/>
        </w:rPr>
        <w:t xml:space="preserve">“2016 NAYGN Career Report,” Issued May 2016.  </w:t>
      </w:r>
    </w:p>
    <w:p w:rsidR="0036030F" w:rsidRDefault="00D44CD0">
      <w:pPr>
        <w:rPr>
          <w:rFonts w:ascii="Calibri" w:eastAsia="Calibri" w:hAnsi="Calibri" w:cs="Calibri"/>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margin">
                  <wp:posOffset>0</wp:posOffset>
                </wp:positionH>
                <wp:positionV relativeFrom="paragraph">
                  <wp:posOffset>6502400</wp:posOffset>
                </wp:positionV>
                <wp:extent cx="5943600" cy="457200"/>
                <wp:effectExtent l="0" t="0" r="0" b="0"/>
                <wp:wrapNone/>
                <wp:docPr id="4" name="Rectangle 4"/>
                <wp:cNvGraphicFramePr/>
                <a:graphic xmlns:a="http://schemas.openxmlformats.org/drawingml/2006/main">
                  <a:graphicData uri="http://schemas.microsoft.com/office/word/2010/wordprocessingShape">
                    <wps:wsp>
                      <wps:cNvSpPr/>
                      <wps:spPr>
                        <a:xfrm>
                          <a:off x="2374200" y="3551400"/>
                          <a:ext cx="5943600" cy="457200"/>
                        </a:xfrm>
                        <a:prstGeom prst="rect">
                          <a:avLst/>
                        </a:prstGeom>
                        <a:noFill/>
                        <a:ln>
                          <a:noFill/>
                        </a:ln>
                      </wps:spPr>
                      <wps:txbx>
                        <w:txbxContent>
                          <w:p w:rsidR="0036030F" w:rsidRDefault="00D44CD0">
                            <w:pPr>
                              <w:jc w:val="center"/>
                              <w:textDirection w:val="btLr"/>
                            </w:pPr>
                            <w:r>
                              <w:rPr>
                                <w:b/>
                                <w:sz w:val="20"/>
                              </w:rPr>
                              <w:t xml:space="preserve">*See </w:t>
                            </w:r>
                            <w:r>
                              <w:rPr>
                                <w:b/>
                                <w:color w:val="0000FF"/>
                                <w:sz w:val="20"/>
                                <w:u w:val="single"/>
                              </w:rPr>
                              <w:t>NA-YGN Local Chapter List</w:t>
                            </w:r>
                            <w:r>
                              <w:rPr>
                                <w:b/>
                                <w:sz w:val="20"/>
                              </w:rPr>
                              <w:t xml:space="preserve"> for existing chapters in each region.</w:t>
                            </w:r>
                          </w:p>
                          <w:p w:rsidR="0036030F" w:rsidRDefault="0036030F">
                            <w:pPr>
                              <w:jc w:val="center"/>
                              <w:textDirection w:val="btLr"/>
                            </w:pPr>
                          </w:p>
                        </w:txbxContent>
                      </wps:txbx>
                      <wps:bodyPr wrap="square" lIns="91425" tIns="45700" rIns="91425" bIns="45700" anchor="t" anchorCtr="0"/>
                    </wps:wsp>
                  </a:graphicData>
                </a:graphic>
              </wp:anchor>
            </w:drawing>
          </mc:Choice>
          <mc:Fallback>
            <w:pict>
              <v:rect id="Rectangle 4" o:spid="_x0000_s1026" style="position:absolute;margin-left:0;margin-top:512pt;width:468pt;height:3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" filled="f" stroked="f">
                <v:textbox inset="2.53958mm,1.2694mm,2.53958mm,1.2694mm">
                  <w:txbxContent>
                    <w:p w:rsidR="0036030F" w:rsidRDefault="00D44CD0">
                      <w:pPr>
                        <w:jc w:val="center"/>
                        <w:textDirection w:val="btLr"/>
                      </w:pPr>
                      <w:r>
                        <w:rPr>
                          <w:b/>
                          <w:sz w:val="20"/>
                        </w:rPr>
                        <w:t xml:space="preserve">*See </w:t>
                      </w:r>
                      <w:r>
                        <w:rPr>
                          <w:b/>
                          <w:color w:val="0000FF"/>
                          <w:sz w:val="20"/>
                          <w:u w:val="single"/>
                        </w:rPr>
                        <w:t>NA-YGN Local Chapter List</w:t>
                      </w:r>
                      <w:r>
                        <w:rPr>
                          <w:b/>
                          <w:sz w:val="20"/>
                        </w:rPr>
                        <w:t xml:space="preserve"> for existing chapters in each region.</w:t>
                      </w:r>
                    </w:p>
                    <w:p w:rsidR="0036030F" w:rsidRDefault="0036030F">
                      <w:pPr>
                        <w:jc w:val="center"/>
                        <w:textDirection w:val="btLr"/>
                      </w:pPr>
                    </w:p>
                  </w:txbxContent>
                </v:textbox>
                <w10:wrap anchorx="margin"/>
              </v:rect>
            </w:pict>
          </mc:Fallback>
        </mc:AlternateContent>
      </w:r>
    </w:p>
    <w:sectPr w:rsidR="0036030F">
      <w:headerReference w:type="default" r:id="rId10"/>
      <w:footerReference w:type="default" r:id="rId11"/>
      <w:pgSz w:w="12240" w:h="15840"/>
      <w:pgMar w:top="2736"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D0" w:rsidRDefault="00D44CD0">
      <w:r>
        <w:separator/>
      </w:r>
    </w:p>
  </w:endnote>
  <w:endnote w:type="continuationSeparator" w:id="0">
    <w:p w:rsidR="00D44CD0" w:rsidRDefault="00D4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30F" w:rsidRDefault="00D44CD0">
    <w:pPr>
      <w:tabs>
        <w:tab w:val="center" w:pos="4320"/>
        <w:tab w:val="right" w:pos="8640"/>
      </w:tabs>
      <w:spacing w:after="720"/>
      <w:rPr>
        <w:rFonts w:ascii="Calibri" w:eastAsia="Calibri" w:hAnsi="Calibri" w:cs="Calibri"/>
        <w:sz w:val="22"/>
        <w:szCs w:val="22"/>
      </w:rPr>
    </w:pPr>
    <w:r>
      <w:rPr>
        <w:rFonts w:ascii="Calibri" w:eastAsia="Calibri" w:hAnsi="Calibri" w:cs="Calibri"/>
        <w:sz w:val="22"/>
        <w:szCs w:val="22"/>
      </w:rPr>
      <w:t xml:space="preserve">Updated </w:t>
    </w:r>
    <w:r>
      <w:rPr>
        <w:rFonts w:ascii="Calibri" w:eastAsia="Calibri" w:hAnsi="Calibri" w:cs="Calibri"/>
        <w:sz w:val="22"/>
        <w:szCs w:val="22"/>
      </w:rPr>
      <w:t>10</w:t>
    </w:r>
    <w:r>
      <w:rPr>
        <w:rFonts w:ascii="Calibri" w:eastAsia="Calibri" w:hAnsi="Calibri" w:cs="Calibri"/>
        <w:sz w:val="22"/>
        <w:szCs w:val="22"/>
      </w:rPr>
      <w:t>/</w:t>
    </w:r>
    <w:r>
      <w:rPr>
        <w:rFonts w:ascii="Calibri" w:eastAsia="Calibri" w:hAnsi="Calibri" w:cs="Calibri"/>
        <w:sz w:val="22"/>
        <w:szCs w:val="22"/>
      </w:rPr>
      <w:t>03</w:t>
    </w:r>
    <w:r>
      <w:rPr>
        <w:rFonts w:ascii="Calibri" w:eastAsia="Calibri" w:hAnsi="Calibri" w:cs="Calibri"/>
        <w:sz w:val="22"/>
        <w:szCs w:val="22"/>
      </w:rPr>
      <w:t>/1</w:t>
    </w:r>
    <w:r>
      <w:rPr>
        <w:rFonts w:ascii="Calibri" w:eastAsia="Calibri" w:hAnsi="Calibri" w:cs="Calibri"/>
        <w:sz w:val="22"/>
        <w:szCs w:val="22"/>
      </w:rPr>
      <w:t>7</w:t>
    </w:r>
    <w:r>
      <w:rPr>
        <w:rFonts w:ascii="Calibri" w:eastAsia="Calibri" w:hAnsi="Calibri" w:cs="Calibri"/>
        <w:sz w:val="22"/>
        <w:szCs w:val="22"/>
      </w:rPr>
      <w:tab/>
    </w:r>
    <w:r>
      <w:rPr>
        <w:rFonts w:ascii="Calibri" w:eastAsia="Calibri" w:hAnsi="Calibri" w:cs="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sidR="006F2A5F">
      <w:rPr>
        <w:rFonts w:ascii="Calibri" w:eastAsia="Calibri" w:hAnsi="Calibri" w:cs="Calibri"/>
        <w:sz w:val="22"/>
        <w:szCs w:val="22"/>
      </w:rPr>
      <w:fldChar w:fldCharType="separate"/>
    </w:r>
    <w:r w:rsidR="006F2A5F">
      <w:rPr>
        <w:rFonts w:ascii="Calibri" w:eastAsia="Calibri" w:hAnsi="Calibri" w:cs="Calibri"/>
        <w:noProof/>
        <w:sz w:val="22"/>
        <w:szCs w:val="22"/>
      </w:rPr>
      <w:t>1</w:t>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sidR="006F2A5F">
      <w:rPr>
        <w:rFonts w:ascii="Calibri" w:eastAsia="Calibri" w:hAnsi="Calibri" w:cs="Calibri"/>
        <w:sz w:val="22"/>
        <w:szCs w:val="22"/>
      </w:rPr>
      <w:fldChar w:fldCharType="separate"/>
    </w:r>
    <w:r w:rsidR="006F2A5F">
      <w:rPr>
        <w:rFonts w:ascii="Calibri" w:eastAsia="Calibri" w:hAnsi="Calibri" w:cs="Calibri"/>
        <w:noProof/>
        <w:sz w:val="22"/>
        <w:szCs w:val="22"/>
      </w:rPr>
      <w:t>3</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D0" w:rsidRDefault="00D44CD0">
      <w:r>
        <w:separator/>
      </w:r>
    </w:p>
  </w:footnote>
  <w:footnote w:type="continuationSeparator" w:id="0">
    <w:p w:rsidR="00D44CD0" w:rsidRDefault="00D44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30F" w:rsidRDefault="00D44CD0">
    <w:pPr>
      <w:tabs>
        <w:tab w:val="center" w:pos="4320"/>
        <w:tab w:val="right" w:pos="8640"/>
      </w:tabs>
      <w:spacing w:before="720"/>
      <w:ind w:left="-900"/>
    </w:pPr>
    <w:r>
      <w:rPr>
        <w:noProof/>
      </w:rPr>
      <w:drawing>
        <wp:inline distT="0" distB="0" distL="0" distR="0">
          <wp:extent cx="2578139" cy="102837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8139" cy="1028370"/>
                  </a:xfrm>
                  <a:prstGeom prst="rect">
                    <a:avLst/>
                  </a:prstGeom>
                  <a:ln/>
                </pic:spPr>
              </pic:pic>
            </a:graphicData>
          </a:graphic>
        </wp:inline>
      </w:drawing>
    </w:r>
    <w:r>
      <w:rPr>
        <w:noProof/>
      </w:rPr>
      <mc:AlternateContent>
        <mc:Choice Requires="wps">
          <w:drawing>
            <wp:anchor distT="0" distB="0" distL="0" distR="0" simplePos="0" relativeHeight="251658240" behindDoc="1" locked="0" layoutInCell="1" hidden="0" allowOverlap="1">
              <wp:simplePos x="0" y="0"/>
              <wp:positionH relativeFrom="margin">
                <wp:posOffset>2070100</wp:posOffset>
              </wp:positionH>
              <wp:positionV relativeFrom="paragraph">
                <wp:posOffset>457200</wp:posOffset>
              </wp:positionV>
              <wp:extent cx="4241800" cy="36830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3226059" y="3594580"/>
                        <a:ext cx="4239883" cy="370840"/>
                      </a:xfrm>
                      <a:prstGeom prst="rect">
                        <a:avLst/>
                      </a:prstGeom>
                      <a:noFill/>
                      <a:ln>
                        <a:noFill/>
                      </a:ln>
                    </wps:spPr>
                    <wps:txbx>
                      <w:txbxContent>
                        <w:p w:rsidR="0036030F" w:rsidRDefault="00D44CD0">
                          <w:pPr>
                            <w:jc w:val="center"/>
                            <w:textDirection w:val="btLr"/>
                          </w:pPr>
                          <w:r>
                            <w:rPr>
                              <w:rFonts w:ascii="Calibri" w:eastAsia="Calibri" w:hAnsi="Calibri" w:cs="Calibri"/>
                              <w:b/>
                              <w:color w:val="008000"/>
                              <w:sz w:val="36"/>
                            </w:rPr>
                            <w:t>Benchmarking Committee Charter</w:t>
                          </w:r>
                        </w:p>
                      </w:txbxContent>
                    </wps:txbx>
                    <wps:bodyPr wrap="square" lIns="91425" tIns="45700" rIns="91425" bIns="45700" anchor="t" anchorCtr="0"/>
                  </wps:wsp>
                </a:graphicData>
              </a:graphic>
            </wp:anchor>
          </w:drawing>
        </mc:Choice>
        <mc:Fallback>
          <w:pict>
            <v:rect id="Rectangle 3" o:spid="_x0000_s1027" style="position:absolute;left:0;text-align:left;margin-left:163pt;margin-top:36pt;width:334pt;height:29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" filled="f" stroked="f">
              <v:textbox inset="2.53958mm,1.2694mm,2.53958mm,1.2694mm">
                <w:txbxContent>
                  <w:p w:rsidR="0036030F" w:rsidRDefault="00D44CD0">
                    <w:pPr>
                      <w:jc w:val="center"/>
                      <w:textDirection w:val="btLr"/>
                    </w:pPr>
                    <w:r>
                      <w:rPr>
                        <w:rFonts w:ascii="Calibri" w:eastAsia="Calibri" w:hAnsi="Calibri" w:cs="Calibri"/>
                        <w:b/>
                        <w:color w:val="008000"/>
                        <w:sz w:val="36"/>
                      </w:rPr>
                      <w:t>Benchmarking Committee Charter</w:t>
                    </w:r>
                  </w:p>
                </w:txbxContent>
              </v:textbox>
              <w10:wrap type="square" anchorx="margin"/>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1993900</wp:posOffset>
              </wp:positionH>
              <wp:positionV relativeFrom="paragraph">
                <wp:posOffset>889000</wp:posOffset>
              </wp:positionV>
              <wp:extent cx="439420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3147343" y="3780000"/>
                        <a:ext cx="4397315" cy="0"/>
                      </a:xfrm>
                      <a:prstGeom prst="straightConnector1">
                        <a:avLst/>
                      </a:prstGeom>
                      <a:noFill/>
                      <a:ln w="28575" cap="flat" cmpd="sng">
                        <a:solidFill>
                          <a:srgbClr val="008000"/>
                        </a:solidFill>
                        <a:prstDash val="solid"/>
                        <a:round/>
                        <a:headEnd type="none" w="med" len="med"/>
                        <a:tailEnd type="none" w="med" len="med"/>
                      </a:ln>
                    </wps:spPr>
                    <wps:bodyPr/>
                  </wps:wsp>
                </a:graphicData>
              </a:graphic>
            </wp:anchor>
          </w:drawing>
        </mc:Choice>
        <mc:Fallback>
          <w:pict>
            <v:shapetype w14:anchorId="6A10A084" id="_x0000_t32" coordsize="21600,21600" o:spt="32" o:oned="t" path="m,l21600,21600e" filled="f">
              <v:path arrowok="t" fillok="f" o:connecttype="none"/>
              <o:lock v:ext="edit" shapetype="t"/>
            </v:shapetype>
            <v:shape id="Straight Arrow Connector 2" o:spid="_x0000_s1026" type="#_x0000_t32" style="position:absolute;margin-left:157pt;margin-top:70pt;width:346pt;height:2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" strokecolor="green" strokeweight="2.25p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01A4"/>
    <w:multiLevelType w:val="multilevel"/>
    <w:tmpl w:val="2A403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70146B"/>
    <w:multiLevelType w:val="multilevel"/>
    <w:tmpl w:val="1FBA78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6C51870"/>
    <w:multiLevelType w:val="multilevel"/>
    <w:tmpl w:val="6036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CF6B28"/>
    <w:multiLevelType w:val="multilevel"/>
    <w:tmpl w:val="61461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030F"/>
    <w:rsid w:val="0036030F"/>
    <w:rsid w:val="006F2A5F"/>
    <w:rsid w:val="00D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F42F2-1A79-4621-92D8-E358877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rveymonk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wood@enterg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ygn.org/resources/naygn-org-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4361</Characters>
  <Application>Microsoft Office Word</Application>
  <DocSecurity>0</DocSecurity>
  <Lines>36</Lines>
  <Paragraphs>10</Paragraphs>
  <ScaleCrop>false</ScaleCrop>
  <Company>Microsoft</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Balik</cp:lastModifiedBy>
  <cp:revision>2</cp:revision>
  <dcterms:created xsi:type="dcterms:W3CDTF">2017-10-03T15:09:00Z</dcterms:created>
  <dcterms:modified xsi:type="dcterms:W3CDTF">2017-10-03T15:10:00Z</dcterms:modified>
</cp:coreProperties>
</file>