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5C1EE" w14:textId="06810632" w:rsidR="008A068F" w:rsidRDefault="0077401D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Diversity and Inclusion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Committee Goal: </w:t>
      </w:r>
      <w:r w:rsidR="00D44CD0">
        <w:rPr>
          <w:rFonts w:ascii="Calibri" w:eastAsia="Calibri" w:hAnsi="Calibri" w:cs="Calibri"/>
          <w:sz w:val="22"/>
          <w:szCs w:val="22"/>
        </w:rPr>
        <w:t xml:space="preserve">To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review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the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current state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of diversity and inclusion in the NAYGN organization and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form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actions and initiatives to make NAYGN a more diverse and inclusive </w:t>
      </w:r>
      <w:r w:rsidR="00EA1807">
        <w:rPr>
          <w:rFonts w:ascii="Calibri" w:eastAsia="Calibri" w:hAnsi="Calibri" w:cs="Calibri"/>
          <w:bCs/>
          <w:sz w:val="22"/>
          <w:szCs w:val="22"/>
        </w:rPr>
        <w:t>environment</w:t>
      </w:r>
      <w:r w:rsidR="00844163">
        <w:rPr>
          <w:rFonts w:ascii="Calibri" w:eastAsia="Calibri" w:hAnsi="Calibri" w:cs="Calibri"/>
          <w:bCs/>
          <w:sz w:val="22"/>
          <w:szCs w:val="22"/>
        </w:rPr>
        <w:t>.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84933">
        <w:rPr>
          <w:rFonts w:ascii="Calibri" w:eastAsia="Calibri" w:hAnsi="Calibri" w:cs="Calibri"/>
          <w:bCs/>
          <w:sz w:val="22"/>
          <w:szCs w:val="22"/>
        </w:rPr>
        <w:t>Additionally, t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hese initiatives should ultimately help NAYGN to be better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in addressing systemic racism in our organization, in the nuclear industry, and in the communities we live.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60431D4B" w14:textId="77777777" w:rsidR="00557C12" w:rsidRPr="005A14A1" w:rsidRDefault="00557C12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1622A17C" w14:textId="77777777" w:rsidR="0036030F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Background &amp; Purpose</w:t>
      </w:r>
    </w:p>
    <w:p w14:paraId="4E8FF0F8" w14:textId="77777777" w:rsidR="00715BD3" w:rsidRPr="00715BD3" w:rsidRDefault="00D44CD0" w:rsidP="00715BD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Since NAYGN’s inception in 1999, the nuclear </w:t>
      </w:r>
      <w:r w:rsidR="00684933">
        <w:rPr>
          <w:rFonts w:ascii="Calibri" w:eastAsia="Calibri" w:hAnsi="Calibri" w:cs="Calibri"/>
          <w:sz w:val="22"/>
          <w:szCs w:val="22"/>
        </w:rPr>
        <w:t>industry</w:t>
      </w:r>
      <w:r>
        <w:rPr>
          <w:rFonts w:ascii="Calibri" w:eastAsia="Calibri" w:hAnsi="Calibri" w:cs="Calibri"/>
          <w:sz w:val="22"/>
          <w:szCs w:val="22"/>
        </w:rPr>
        <w:t xml:space="preserve"> has looked to our organization as the voice of the young generation.</w:t>
      </w:r>
      <w:r w:rsidR="00844163">
        <w:rPr>
          <w:rFonts w:ascii="Calibri" w:eastAsia="Calibri" w:hAnsi="Calibri" w:cs="Calibri"/>
          <w:sz w:val="22"/>
          <w:szCs w:val="22"/>
        </w:rPr>
        <w:t xml:space="preserve"> </w:t>
      </w:r>
      <w:r w:rsidR="00557C12">
        <w:rPr>
          <w:rFonts w:ascii="Calibri" w:eastAsia="Calibri" w:hAnsi="Calibri" w:cs="Calibri"/>
          <w:sz w:val="22"/>
          <w:szCs w:val="22"/>
        </w:rPr>
        <w:t>Recent survey results from</w:t>
      </w:r>
      <w:r w:rsidR="00684933">
        <w:rPr>
          <w:rFonts w:ascii="Calibri" w:eastAsia="Calibri" w:hAnsi="Calibri" w:cs="Calibri"/>
          <w:sz w:val="22"/>
          <w:szCs w:val="22"/>
        </w:rPr>
        <w:t xml:space="preserve"> the 2</w:t>
      </w:r>
      <w:r w:rsidR="00557C12">
        <w:rPr>
          <w:rFonts w:ascii="Calibri" w:eastAsia="Calibri" w:hAnsi="Calibri" w:cs="Calibri"/>
          <w:sz w:val="22"/>
          <w:szCs w:val="22"/>
        </w:rPr>
        <w:t>020 Career Report have shown that NAYGN membership is not diverse</w:t>
      </w:r>
      <w:r w:rsidR="00684933">
        <w:rPr>
          <w:rFonts w:ascii="Calibri" w:eastAsia="Calibri" w:hAnsi="Calibri" w:cs="Calibri"/>
          <w:sz w:val="22"/>
          <w:szCs w:val="22"/>
        </w:rPr>
        <w:t xml:space="preserve"> in comparison to the ene</w:t>
      </w:r>
      <w:r w:rsidR="00CC12BF">
        <w:rPr>
          <w:rFonts w:ascii="Calibri" w:eastAsia="Calibri" w:hAnsi="Calibri" w:cs="Calibri"/>
          <w:sz w:val="22"/>
          <w:szCs w:val="22"/>
        </w:rPr>
        <w:t xml:space="preserve">rgy and nuclear industry as a whole. </w:t>
      </w:r>
      <w:r w:rsidR="0015729A">
        <w:rPr>
          <w:rFonts w:ascii="Calibri" w:eastAsia="Calibri" w:hAnsi="Calibri" w:cs="Calibri"/>
          <w:sz w:val="22"/>
          <w:szCs w:val="22"/>
        </w:rPr>
        <w:t xml:space="preserve"> </w:t>
      </w:r>
      <w:r w:rsidR="00715BD3">
        <w:rPr>
          <w:rFonts w:ascii="Calibri" w:eastAsia="Calibri" w:hAnsi="Calibri" w:cs="Calibri"/>
          <w:sz w:val="22"/>
          <w:szCs w:val="22"/>
        </w:rPr>
        <w:t xml:space="preserve">The 2020 career report can be found at </w:t>
      </w:r>
      <w:hyperlink r:id="rId7" w:history="1">
        <w:r w:rsidR="00715BD3" w:rsidRPr="00715BD3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https://naygn.org/wp-content/uploads/2020/06/Final-2020-Career-Report.pdf</w:t>
        </w:r>
      </w:hyperlink>
      <w:r w:rsidR="00715BD3" w:rsidRPr="00715BD3">
        <w:rPr>
          <w:rFonts w:ascii="Calibri" w:hAnsi="Calibri" w:cs="Calibri"/>
          <w:sz w:val="22"/>
          <w:szCs w:val="22"/>
        </w:rPr>
        <w:t xml:space="preserve"> </w:t>
      </w:r>
    </w:p>
    <w:p w14:paraId="48A82FAC" w14:textId="00E149EE" w:rsidR="00844163" w:rsidRPr="00715BD3" w:rsidRDefault="00715BD3" w:rsidP="0015729A">
      <w:pPr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715BD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DC48351" w14:textId="32FF700A" w:rsidR="00832668" w:rsidRDefault="00844163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special committee is being formed to help address those gaps and make NAYGN a more diverse and inclusive organization. </w:t>
      </w:r>
      <w:r w:rsidR="0015729A">
        <w:rPr>
          <w:rFonts w:ascii="Calibri" w:eastAsia="Calibri" w:hAnsi="Calibri" w:cs="Calibri"/>
          <w:sz w:val="22"/>
          <w:szCs w:val="22"/>
        </w:rPr>
        <w:t xml:space="preserve">Recruitment and retention of diverse nuclear members in both the industry and NAYGN </w:t>
      </w:r>
      <w:r w:rsidR="00832668">
        <w:rPr>
          <w:rFonts w:ascii="Calibri" w:eastAsia="Calibri" w:hAnsi="Calibri" w:cs="Calibri"/>
          <w:sz w:val="22"/>
          <w:szCs w:val="22"/>
        </w:rPr>
        <w:t>and career support for all members will greatly benefit both the NAYGN organization and the</w:t>
      </w:r>
      <w:r w:rsidR="00CC12BF">
        <w:rPr>
          <w:rFonts w:ascii="Calibri" w:eastAsia="Calibri" w:hAnsi="Calibri" w:cs="Calibri"/>
          <w:sz w:val="22"/>
          <w:szCs w:val="22"/>
        </w:rPr>
        <w:t xml:space="preserve"> nuclear</w:t>
      </w:r>
      <w:r w:rsidR="00832668">
        <w:rPr>
          <w:rFonts w:ascii="Calibri" w:eastAsia="Calibri" w:hAnsi="Calibri" w:cs="Calibri"/>
          <w:sz w:val="22"/>
          <w:szCs w:val="22"/>
        </w:rPr>
        <w:t xml:space="preserve"> industry</w:t>
      </w:r>
      <w:r w:rsidR="00CC12BF">
        <w:rPr>
          <w:rFonts w:ascii="Calibri" w:eastAsia="Calibri" w:hAnsi="Calibri" w:cs="Calibri"/>
          <w:sz w:val="22"/>
          <w:szCs w:val="22"/>
        </w:rPr>
        <w:t xml:space="preserve">. </w:t>
      </w:r>
    </w:p>
    <w:p w14:paraId="541AA72B" w14:textId="77777777" w:rsidR="00832668" w:rsidRDefault="00832668" w:rsidP="0015729A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02F9D48" w14:textId="5E8C9F09" w:rsidR="00844163" w:rsidRDefault="00CC12BF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addition to addressing diversity and inclusion within NAYGN, this committee will serve to help address </w:t>
      </w:r>
      <w:r w:rsidR="00844163">
        <w:rPr>
          <w:rFonts w:ascii="Calibri" w:eastAsia="Calibri" w:hAnsi="Calibri" w:cs="Calibri"/>
          <w:sz w:val="22"/>
          <w:szCs w:val="22"/>
        </w:rPr>
        <w:t xml:space="preserve">systemic racism </w:t>
      </w:r>
      <w:r>
        <w:rPr>
          <w:rFonts w:ascii="Calibri" w:eastAsia="Calibri" w:hAnsi="Calibri" w:cs="Calibri"/>
          <w:sz w:val="22"/>
          <w:szCs w:val="22"/>
        </w:rPr>
        <w:t xml:space="preserve">in our organization, the industry, and our communities. </w:t>
      </w:r>
      <w:r w:rsidR="00844163">
        <w:rPr>
          <w:rFonts w:ascii="Calibri" w:eastAsia="Calibri" w:hAnsi="Calibri" w:cs="Calibri"/>
          <w:sz w:val="22"/>
          <w:szCs w:val="22"/>
        </w:rPr>
        <w:t xml:space="preserve"> </w:t>
      </w:r>
    </w:p>
    <w:p w14:paraId="5FF35C78" w14:textId="7DB19EC1" w:rsidR="0036030F" w:rsidRDefault="00844163" w:rsidP="0015729A">
      <w:p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2E3996A" w14:textId="77777777" w:rsidR="00715BD3" w:rsidRDefault="00715BD3" w:rsidP="00715BD3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Committee: </w:t>
      </w:r>
      <w:r w:rsidRPr="005A14A1">
        <w:rPr>
          <w:rFonts w:ascii="Calibri" w:eastAsia="Calibri" w:hAnsi="Calibri" w:cs="Calibri"/>
          <w:bCs/>
          <w:sz w:val="22"/>
          <w:szCs w:val="22"/>
        </w:rPr>
        <w:t xml:space="preserve">Email </w:t>
      </w:r>
      <w:hyperlink r:id="rId8" w:history="1">
        <w:r w:rsidRPr="00676CAB">
          <w:rPr>
            <w:rStyle w:val="Hyperlink"/>
            <w:rFonts w:ascii="Calibri" w:eastAsia="Calibri" w:hAnsi="Calibri" w:cs="Calibri"/>
            <w:bCs/>
            <w:sz w:val="22"/>
            <w:szCs w:val="22"/>
          </w:rPr>
          <w:t>diversity@naygn.org</w:t>
        </w:r>
      </w:hyperlink>
    </w:p>
    <w:p w14:paraId="04F92EC9" w14:textId="3C1C4082" w:rsidR="00715BD3" w:rsidRDefault="00715BD3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1CC4A379" w14:textId="3774554D" w:rsidR="0036030F" w:rsidRDefault="00D44CD0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Core Sponsor:  </w:t>
      </w:r>
      <w:r>
        <w:rPr>
          <w:rFonts w:ascii="Calibri" w:eastAsia="Calibri" w:hAnsi="Calibri" w:cs="Calibri"/>
          <w:sz w:val="22"/>
          <w:szCs w:val="22"/>
        </w:rPr>
        <w:t xml:space="preserve">NAYGN </w:t>
      </w:r>
      <w:r w:rsidR="00CC12BF">
        <w:rPr>
          <w:rFonts w:ascii="Calibri" w:eastAsia="Calibri" w:hAnsi="Calibri" w:cs="Calibri"/>
          <w:sz w:val="22"/>
          <w:szCs w:val="22"/>
        </w:rPr>
        <w:t>Past</w:t>
      </w:r>
      <w:r>
        <w:rPr>
          <w:rFonts w:ascii="Calibri" w:eastAsia="Calibri" w:hAnsi="Calibri" w:cs="Calibri"/>
          <w:sz w:val="22"/>
          <w:szCs w:val="22"/>
        </w:rPr>
        <w:t xml:space="preserve"> President</w:t>
      </w:r>
      <w:r w:rsidR="00A13B3F">
        <w:rPr>
          <w:rFonts w:ascii="Calibri" w:eastAsia="Calibri" w:hAnsi="Calibri" w:cs="Calibri"/>
          <w:sz w:val="22"/>
          <w:szCs w:val="22"/>
        </w:rPr>
        <w:t xml:space="preserve"> </w:t>
      </w:r>
    </w:p>
    <w:p w14:paraId="3EC020E3" w14:textId="3CDAE2E9" w:rsidR="0036030F" w:rsidRPr="008F420E" w:rsidRDefault="00CC12BF" w:rsidP="0015729A">
      <w:pPr>
        <w:contextualSpacing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Lee Causey, past-president@naygn.org</w:t>
      </w:r>
    </w:p>
    <w:p w14:paraId="6BBA8CB0" w14:textId="77777777" w:rsidR="0036030F" w:rsidRDefault="0036030F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6EB42F2D" w14:textId="3BF3F514" w:rsidR="0036030F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Lead:  </w:t>
      </w:r>
      <w:r w:rsidR="009516C5">
        <w:rPr>
          <w:rFonts w:ascii="Calibri" w:eastAsia="Calibri" w:hAnsi="Calibri" w:cs="Calibri"/>
          <w:b/>
          <w:sz w:val="22"/>
          <w:szCs w:val="22"/>
        </w:rPr>
        <w:t>TBD</w:t>
      </w:r>
    </w:p>
    <w:p w14:paraId="5F0A89DF" w14:textId="77777777" w:rsidR="0036030F" w:rsidRDefault="0036030F" w:rsidP="0015729A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25808E1" w14:textId="295F143D" w:rsidR="0036030F" w:rsidRPr="00DA7FD5" w:rsidRDefault="00D44CD0" w:rsidP="0015729A">
      <w:pPr>
        <w:contextualSpacing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</w:t>
      </w:r>
      <w:r w:rsidR="00CC12BF">
        <w:rPr>
          <w:rFonts w:ascii="Calibri" w:eastAsia="Calibri" w:hAnsi="Calibri" w:cs="Calibri"/>
          <w:b/>
          <w:sz w:val="22"/>
          <w:szCs w:val="22"/>
        </w:rPr>
        <w:t>Members</w:t>
      </w:r>
    </w:p>
    <w:p w14:paraId="7659638C" w14:textId="77777777" w:rsidR="0036030F" w:rsidRDefault="0036030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74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410"/>
      </w:tblGrid>
      <w:tr w:rsidR="00905C14" w14:paraId="7F13C60A" w14:textId="77777777" w:rsidTr="00905C14">
        <w:tc>
          <w:tcPr>
            <w:tcW w:w="3060" w:type="dxa"/>
          </w:tcPr>
          <w:p w14:paraId="5E4CDA75" w14:textId="77777777" w:rsidR="00905C14" w:rsidRDefault="00905C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Members</w:t>
            </w:r>
          </w:p>
        </w:tc>
        <w:tc>
          <w:tcPr>
            <w:tcW w:w="4410" w:type="dxa"/>
          </w:tcPr>
          <w:p w14:paraId="4565AA39" w14:textId="77777777" w:rsidR="00905C14" w:rsidRDefault="00905C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</w:tr>
      <w:tr w:rsidR="00905C14" w14:paraId="753A80EC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E3F" w14:textId="2329AC4D" w:rsidR="00905C14" w:rsidRDefault="000706D3" w:rsidP="00905C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Sandra Stewart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4C9B" w14:textId="6D140DC9" w:rsidR="00905C14" w:rsidRPr="00905C14" w:rsidRDefault="00934B80" w:rsidP="00905C14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sstewart@energy-northwest.com</w:t>
            </w:r>
          </w:p>
        </w:tc>
      </w:tr>
      <w:tr w:rsidR="00905C14" w14:paraId="15E5CC37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E43B" w14:textId="40CD8DFC" w:rsidR="00905C14" w:rsidRDefault="000706D3" w:rsidP="00905C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Michael Hayes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8712" w14:textId="125FD1BE" w:rsidR="00905C14" w:rsidRPr="00905C14" w:rsidRDefault="009B57E3" w:rsidP="00905C14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mahayes@tva.gov</w:t>
            </w:r>
          </w:p>
        </w:tc>
      </w:tr>
      <w:tr w:rsidR="00975B18" w14:paraId="584B88EA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ABD9" w14:textId="16AA0C92" w:rsidR="00975B18" w:rsidRPr="00E13107" w:rsidRDefault="00770BA0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Deborah Jones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792D" w14:textId="4FE08A53" w:rsidR="00975B18" w:rsidRPr="00905C14" w:rsidRDefault="000B6D34" w:rsidP="00975B18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Deborah.jones@brucepower.com</w:t>
            </w:r>
          </w:p>
        </w:tc>
      </w:tr>
      <w:tr w:rsidR="00975B18" w14:paraId="2946FBC1" w14:textId="77777777" w:rsidTr="00905C14">
        <w:trPr>
          <w:trHeight w:val="480"/>
        </w:trPr>
        <w:tc>
          <w:tcPr>
            <w:tcW w:w="3060" w:type="dxa"/>
            <w:vAlign w:val="center"/>
          </w:tcPr>
          <w:p w14:paraId="49825EDB" w14:textId="71B1E326" w:rsidR="00975B18" w:rsidRDefault="000B6D34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Patrick Dickerson</w:t>
            </w:r>
          </w:p>
        </w:tc>
        <w:tc>
          <w:tcPr>
            <w:tcW w:w="4410" w:type="dxa"/>
            <w:vAlign w:val="center"/>
          </w:tcPr>
          <w:p w14:paraId="297DE4BB" w14:textId="1A64F367" w:rsidR="00975B18" w:rsidRPr="00905C14" w:rsidRDefault="000B6D34" w:rsidP="00975B18">
            <w:pPr>
              <w:ind w:right="-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DickersonPM@inpo.org</w:t>
            </w:r>
          </w:p>
        </w:tc>
      </w:tr>
      <w:tr w:rsidR="00F87367" w14:paraId="5B2F5C1D" w14:textId="77777777" w:rsidTr="00905C14">
        <w:trPr>
          <w:trHeight w:val="480"/>
        </w:trPr>
        <w:tc>
          <w:tcPr>
            <w:tcW w:w="3060" w:type="dxa"/>
            <w:vAlign w:val="center"/>
          </w:tcPr>
          <w:p w14:paraId="277E2A71" w14:textId="73BC938A" w:rsidR="00F87367" w:rsidRDefault="00F87367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Sarah Davis</w:t>
            </w:r>
          </w:p>
        </w:tc>
        <w:tc>
          <w:tcPr>
            <w:tcW w:w="4410" w:type="dxa"/>
            <w:vAlign w:val="center"/>
          </w:tcPr>
          <w:p w14:paraId="2E2EF9BC" w14:textId="5BBE167B" w:rsidR="00F87367" w:rsidRDefault="00F06331" w:rsidP="00975B18">
            <w:pPr>
              <w:ind w:right="-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smdavis</w:t>
            </w:r>
            <w:r w:rsidR="00423C6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@enercon.com</w:t>
            </w:r>
          </w:p>
        </w:tc>
      </w:tr>
    </w:tbl>
    <w:p w14:paraId="483521E1" w14:textId="77777777" w:rsidR="00715BD3" w:rsidRDefault="00715BD3">
      <w:pPr>
        <w:rPr>
          <w:rFonts w:ascii="Calibri" w:eastAsia="Calibri" w:hAnsi="Calibri" w:cs="Calibri"/>
          <w:b/>
          <w:sz w:val="22"/>
          <w:szCs w:val="22"/>
        </w:rPr>
      </w:pPr>
    </w:p>
    <w:p w14:paraId="2334D6E8" w14:textId="1081375A" w:rsidR="0036030F" w:rsidRDefault="00D44CD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Roles and Responsibilities</w:t>
      </w:r>
    </w:p>
    <w:p w14:paraId="6AB0D8A0" w14:textId="77777777" w:rsidR="00715BD3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 </w:t>
      </w:r>
      <w:r w:rsidR="00CC12BF">
        <w:rPr>
          <w:rFonts w:ascii="Calibri" w:eastAsia="Calibri" w:hAnsi="Calibri" w:cs="Calibri"/>
          <w:sz w:val="22"/>
          <w:szCs w:val="22"/>
        </w:rPr>
        <w:t xml:space="preserve">actions and initiatives </w:t>
      </w:r>
      <w:r>
        <w:rPr>
          <w:rFonts w:ascii="Calibri" w:eastAsia="Calibri" w:hAnsi="Calibri" w:cs="Calibri"/>
          <w:sz w:val="22"/>
          <w:szCs w:val="22"/>
        </w:rPr>
        <w:t xml:space="preserve">based on input from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committee, NAYGN members, and </w:t>
      </w:r>
      <w:r>
        <w:rPr>
          <w:rFonts w:ascii="Calibri" w:eastAsia="Calibri" w:hAnsi="Calibri" w:cs="Calibri"/>
          <w:sz w:val="22"/>
          <w:szCs w:val="22"/>
        </w:rPr>
        <w:t xml:space="preserve">NAYGN core. </w:t>
      </w:r>
    </w:p>
    <w:p w14:paraId="1907DEE3" w14:textId="3CEEF905" w:rsidR="00CC12B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The NAYGN core sponsor is responsible for </w:t>
      </w:r>
      <w:r w:rsidR="00CC12BF">
        <w:rPr>
          <w:rFonts w:ascii="Calibri" w:eastAsia="Calibri" w:hAnsi="Calibri" w:cs="Calibri"/>
          <w:sz w:val="22"/>
          <w:szCs w:val="22"/>
        </w:rPr>
        <w:t xml:space="preserve">general guidiance of </w:t>
      </w:r>
      <w:r w:rsidR="00715BD3">
        <w:rPr>
          <w:rFonts w:ascii="Calibri" w:eastAsia="Calibri" w:hAnsi="Calibri" w:cs="Calibri"/>
          <w:sz w:val="22"/>
          <w:szCs w:val="22"/>
        </w:rPr>
        <w:t xml:space="preserve">the </w:t>
      </w:r>
      <w:r w:rsidR="00CC12BF">
        <w:rPr>
          <w:rFonts w:ascii="Calibri" w:eastAsia="Calibri" w:hAnsi="Calibri" w:cs="Calibri"/>
          <w:sz w:val="22"/>
          <w:szCs w:val="22"/>
        </w:rPr>
        <w:t>committee</w:t>
      </w:r>
      <w:r w:rsidR="00715BD3">
        <w:rPr>
          <w:rFonts w:ascii="Calibri" w:eastAsia="Calibri" w:hAnsi="Calibri" w:cs="Calibri"/>
          <w:sz w:val="22"/>
          <w:szCs w:val="22"/>
        </w:rPr>
        <w:t xml:space="preserve">.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 </w:t>
      </w:r>
      <w:r w:rsidR="00715BD3">
        <w:rPr>
          <w:rFonts w:ascii="Calibri" w:eastAsia="Calibri" w:hAnsi="Calibri" w:cs="Calibri"/>
          <w:sz w:val="22"/>
          <w:szCs w:val="22"/>
        </w:rPr>
        <w:t xml:space="preserve">lead is responsible for leading committee activities and member actions. </w:t>
      </w:r>
    </w:p>
    <w:p w14:paraId="36D403A4" w14:textId="40CB013A" w:rsidR="00715BD3" w:rsidRDefault="00715BD3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to provide periodic updates to the Core and the general membership on D&amp;I initiatives. </w:t>
      </w:r>
    </w:p>
    <w:p w14:paraId="4C56BCF3" w14:textId="217666B4" w:rsidR="0036030F" w:rsidRDefault="00715BD3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Committee to i</w:t>
      </w:r>
      <w:r w:rsidR="00D44CD0">
        <w:rPr>
          <w:rFonts w:ascii="Calibri" w:eastAsia="Calibri" w:hAnsi="Calibri" w:cs="Calibri"/>
          <w:sz w:val="22"/>
          <w:szCs w:val="22"/>
        </w:rPr>
        <w:t xml:space="preserve">dentify and communicate areas of concern or opportunities for improvement within the </w:t>
      </w:r>
      <w:r>
        <w:rPr>
          <w:rFonts w:ascii="Calibri" w:eastAsia="Calibri" w:hAnsi="Calibri" w:cs="Calibri"/>
          <w:sz w:val="22"/>
          <w:szCs w:val="22"/>
        </w:rPr>
        <w:t>D&amp;I</w:t>
      </w:r>
      <w:r w:rsidR="00D44CD0">
        <w:rPr>
          <w:rFonts w:ascii="Calibri" w:eastAsia="Calibri" w:hAnsi="Calibri" w:cs="Calibri"/>
          <w:sz w:val="22"/>
          <w:szCs w:val="22"/>
        </w:rPr>
        <w:t xml:space="preserve"> Committee.  </w:t>
      </w:r>
    </w:p>
    <w:p w14:paraId="369B852E" w14:textId="77777777" w:rsidR="0036030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Sponsor: Attend the yearly NAYGN Core meeting to provide a committee report-out.  </w:t>
      </w:r>
    </w:p>
    <w:p w14:paraId="0750F375" w14:textId="3EA4B432" w:rsidR="0036030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 the </w:t>
      </w:r>
      <w:r w:rsidR="00715BD3">
        <w:rPr>
          <w:rFonts w:ascii="Calibri" w:eastAsia="Calibri" w:hAnsi="Calibri" w:cs="Calibri"/>
          <w:sz w:val="22"/>
          <w:szCs w:val="22"/>
        </w:rPr>
        <w:t>D&amp;I</w:t>
      </w:r>
      <w:r>
        <w:rPr>
          <w:rFonts w:ascii="Calibri" w:eastAsia="Calibri" w:hAnsi="Calibri" w:cs="Calibri"/>
          <w:sz w:val="22"/>
          <w:szCs w:val="22"/>
        </w:rPr>
        <w:t xml:space="preserve"> Committee Charter current by reviewing and, if necessary, revising it</w:t>
      </w:r>
      <w:r w:rsidR="00715BD3">
        <w:rPr>
          <w:rFonts w:ascii="Calibri" w:eastAsia="Calibri" w:hAnsi="Calibri" w:cs="Calibri"/>
          <w:sz w:val="22"/>
          <w:szCs w:val="22"/>
        </w:rPr>
        <w:t xml:space="preserve"> periodically. </w:t>
      </w:r>
    </w:p>
    <w:p w14:paraId="47987664" w14:textId="77777777" w:rsidR="0036030F" w:rsidRDefault="0036030F" w:rsidP="00CC12BF">
      <w:pPr>
        <w:rPr>
          <w:rFonts w:ascii="Calibri" w:eastAsia="Calibri" w:hAnsi="Calibri" w:cs="Calibri"/>
          <w:sz w:val="22"/>
          <w:szCs w:val="22"/>
        </w:rPr>
      </w:pPr>
    </w:p>
    <w:p w14:paraId="5F8D17DB" w14:textId="1FD80DC7" w:rsidR="0036030F" w:rsidRDefault="0036030F" w:rsidP="00CC12B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36030F" w:rsidSect="00086372">
      <w:headerReference w:type="default" r:id="rId9"/>
      <w:footerReference w:type="default" r:id="rId10"/>
      <w:pgSz w:w="12240" w:h="15840"/>
      <w:pgMar w:top="2736" w:right="1440" w:bottom="1440" w:left="1440" w:header="0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35793" w14:textId="77777777" w:rsidR="00114428" w:rsidRDefault="00114428">
      <w:r>
        <w:separator/>
      </w:r>
    </w:p>
  </w:endnote>
  <w:endnote w:type="continuationSeparator" w:id="0">
    <w:p w14:paraId="0E292B6A" w14:textId="77777777" w:rsidR="00114428" w:rsidRDefault="0011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9F6E" w14:textId="0A4EC8B2" w:rsidR="0036030F" w:rsidRDefault="00D44CD0">
    <w:pPr>
      <w:tabs>
        <w:tab w:val="center" w:pos="4320"/>
        <w:tab w:val="right" w:pos="8640"/>
      </w:tabs>
      <w:spacing w:after="72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Updated </w:t>
    </w:r>
    <w:r w:rsidR="00D932BD">
      <w:rPr>
        <w:rFonts w:ascii="Calibri" w:eastAsia="Calibri" w:hAnsi="Calibri" w:cs="Calibri"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t>/</w:t>
    </w:r>
    <w:r w:rsidR="00D932BD">
      <w:rPr>
        <w:rFonts w:ascii="Calibri" w:eastAsia="Calibri" w:hAnsi="Calibri" w:cs="Calibri"/>
        <w:sz w:val="22"/>
        <w:szCs w:val="22"/>
      </w:rPr>
      <w:t>1</w:t>
    </w:r>
    <w:r w:rsidR="00715BD3">
      <w:rPr>
        <w:rFonts w:ascii="Calibri" w:eastAsia="Calibri" w:hAnsi="Calibri" w:cs="Calibri"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t>/</w:t>
    </w:r>
    <w:r w:rsidR="00905C14">
      <w:rPr>
        <w:rFonts w:ascii="Calibri" w:eastAsia="Calibri" w:hAnsi="Calibri" w:cs="Calibri"/>
        <w:sz w:val="22"/>
        <w:szCs w:val="22"/>
      </w:rPr>
      <w:t>20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925920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925920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F19C" w14:textId="77777777" w:rsidR="00114428" w:rsidRDefault="00114428">
      <w:r>
        <w:separator/>
      </w:r>
    </w:p>
  </w:footnote>
  <w:footnote w:type="continuationSeparator" w:id="0">
    <w:p w14:paraId="0195A49B" w14:textId="77777777" w:rsidR="00114428" w:rsidRDefault="0011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46EB" w14:textId="77777777" w:rsidR="0036030F" w:rsidRDefault="00D44CD0">
    <w:pPr>
      <w:tabs>
        <w:tab w:val="center" w:pos="4320"/>
        <w:tab w:val="right" w:pos="8640"/>
      </w:tabs>
      <w:spacing w:before="720"/>
      <w:ind w:left="-900"/>
    </w:pPr>
    <w:r>
      <w:rPr>
        <w:noProof/>
      </w:rPr>
      <w:drawing>
        <wp:inline distT="0" distB="0" distL="0" distR="0" wp14:anchorId="35C0612C" wp14:editId="305CB3D8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26864E38">
              <wp:simplePos x="0" y="0"/>
              <wp:positionH relativeFrom="margin">
                <wp:posOffset>2070100</wp:posOffset>
              </wp:positionH>
              <wp:positionV relativeFrom="paragraph">
                <wp:posOffset>457200</wp:posOffset>
              </wp:positionV>
              <wp:extent cx="4241800" cy="36830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059" y="3594580"/>
                        <a:ext cx="4239883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36AF645C" w:rsidR="0036030F" w:rsidRDefault="00FF566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>Diversity and Inclusion</w:t>
                          </w:r>
                          <w:r w:rsidR="00D44CD0"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 xml:space="preserve"> Committee Charter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6C3DA8" id="Rectangle 3" o:spid="_x0000_s1027" style="position:absolute;left:0;text-align:left;margin-left:163pt;margin-top:36pt;width:334pt;height:29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" filled="f" stroked="f">
              <v:textbox inset="2.53958mm,1.2694mm,2.53958mm,1.2694mm">
                <w:txbxContent>
                  <w:p w14:paraId="52047D8E" w14:textId="36AF645C" w:rsidR="0036030F" w:rsidRDefault="00FF566B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>Diversity and Inclusion</w:t>
                    </w:r>
                    <w:r w:rsidR="00D44CD0"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 xml:space="preserve"> Committee Charter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2E4E4BAF">
              <wp:simplePos x="0" y="0"/>
              <wp:positionH relativeFrom="margin">
                <wp:posOffset>1993900</wp:posOffset>
              </wp:positionH>
              <wp:positionV relativeFrom="paragraph">
                <wp:posOffset>889000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47343" y="3780000"/>
                        <a:ext cx="439731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AC53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7pt;margin-top:70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" strokecolor="green" strokeweight="2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0F"/>
    <w:rsid w:val="000706D3"/>
    <w:rsid w:val="00086372"/>
    <w:rsid w:val="000B6D34"/>
    <w:rsid w:val="00114428"/>
    <w:rsid w:val="00122537"/>
    <w:rsid w:val="0015729A"/>
    <w:rsid w:val="00261488"/>
    <w:rsid w:val="00293F26"/>
    <w:rsid w:val="002E72A8"/>
    <w:rsid w:val="0036030F"/>
    <w:rsid w:val="003C646C"/>
    <w:rsid w:val="003F7ABB"/>
    <w:rsid w:val="00423C6D"/>
    <w:rsid w:val="00434963"/>
    <w:rsid w:val="00557C12"/>
    <w:rsid w:val="005A14A1"/>
    <w:rsid w:val="00684933"/>
    <w:rsid w:val="006F2A5F"/>
    <w:rsid w:val="00715BD3"/>
    <w:rsid w:val="00770BA0"/>
    <w:rsid w:val="0077401D"/>
    <w:rsid w:val="00823408"/>
    <w:rsid w:val="00832668"/>
    <w:rsid w:val="00844163"/>
    <w:rsid w:val="008A068F"/>
    <w:rsid w:val="008F420E"/>
    <w:rsid w:val="00905C14"/>
    <w:rsid w:val="00925920"/>
    <w:rsid w:val="00934B80"/>
    <w:rsid w:val="009516C5"/>
    <w:rsid w:val="00975B18"/>
    <w:rsid w:val="009B57E3"/>
    <w:rsid w:val="00A13B3F"/>
    <w:rsid w:val="00A84BE6"/>
    <w:rsid w:val="00AB59C6"/>
    <w:rsid w:val="00C46625"/>
    <w:rsid w:val="00CC12BF"/>
    <w:rsid w:val="00D23C94"/>
    <w:rsid w:val="00D44CD0"/>
    <w:rsid w:val="00D932BD"/>
    <w:rsid w:val="00DA7FD5"/>
    <w:rsid w:val="00E13107"/>
    <w:rsid w:val="00EA1807"/>
    <w:rsid w:val="00F06331"/>
    <w:rsid w:val="00F54569"/>
    <w:rsid w:val="00F8736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nayg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ygn.org/wp-content/uploads/2020/06/Final-2020-Career-Re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Paul Balik</cp:lastModifiedBy>
  <cp:revision>2</cp:revision>
  <dcterms:created xsi:type="dcterms:W3CDTF">2020-07-08T01:31:00Z</dcterms:created>
  <dcterms:modified xsi:type="dcterms:W3CDTF">2020-07-08T01:31:00Z</dcterms:modified>
</cp:coreProperties>
</file>