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D6865" w14:textId="77777777" w:rsidR="004E16C6" w:rsidRPr="008416BE" w:rsidRDefault="00157E73" w:rsidP="008416BE">
      <w:pPr>
        <w:pStyle w:val="Heading1"/>
        <w:spacing w:before="120"/>
        <w:jc w:val="center"/>
        <w:rPr>
          <w:sz w:val="32"/>
        </w:rPr>
      </w:pPr>
      <w:bookmarkStart w:id="0" w:name="_GoBack"/>
      <w:bookmarkEnd w:id="0"/>
      <w:r w:rsidRPr="008416BE">
        <w:rPr>
          <w:sz w:val="32"/>
        </w:rPr>
        <w:t>Critical Path Game Instructions</w:t>
      </w:r>
    </w:p>
    <w:p w14:paraId="7AAD6866" w14:textId="77777777" w:rsidR="004E16C6" w:rsidRDefault="004E16C6" w:rsidP="007771C4">
      <w:pPr>
        <w:pStyle w:val="Heading2"/>
      </w:pPr>
      <w:r>
        <w:t>Objective:</w:t>
      </w:r>
    </w:p>
    <w:p w14:paraId="7AAD6867" w14:textId="77777777" w:rsidR="004E16C6" w:rsidRDefault="004E16C6">
      <w:r>
        <w:t xml:space="preserve">All players start as </w:t>
      </w:r>
      <w:r w:rsidR="00B50B77">
        <w:t xml:space="preserve">an atom of </w:t>
      </w:r>
      <w:r>
        <w:t>Uranium 235 on the chart of the nuclides.  The player who reaches Lead 207 first wins the game!</w:t>
      </w:r>
    </w:p>
    <w:p w14:paraId="7AAD6868" w14:textId="77777777" w:rsidR="00157E73" w:rsidRDefault="00157E73" w:rsidP="007771C4">
      <w:pPr>
        <w:pStyle w:val="Heading2"/>
      </w:pPr>
      <w:r>
        <w:t>Component Description:</w:t>
      </w:r>
    </w:p>
    <w:p w14:paraId="7AAD6869" w14:textId="77777777" w:rsidR="004E16C6" w:rsidRDefault="00157E73">
      <w:r>
        <w:t>One six-fold game board</w:t>
      </w:r>
      <w:r w:rsidR="004E16C6">
        <w:t>.  The board contains a portion of the chart of the nuclides colored based on each isotope’s half-life.</w:t>
      </w:r>
      <w:r w:rsidR="006D6630">
        <w:t xml:space="preserve">  </w:t>
      </w:r>
    </w:p>
    <w:tbl>
      <w:tblPr>
        <w:tblStyle w:val="TableGrid"/>
        <w:tblW w:w="0" w:type="auto"/>
        <w:tblLook w:val="04A0" w:firstRow="1" w:lastRow="0" w:firstColumn="1" w:lastColumn="0" w:noHBand="0" w:noVBand="1"/>
      </w:tblPr>
      <w:tblGrid>
        <w:gridCol w:w="1046"/>
        <w:gridCol w:w="7792"/>
      </w:tblGrid>
      <w:tr w:rsidR="006D6630" w14:paraId="7AAD6870" w14:textId="77777777" w:rsidTr="00F715E8">
        <w:tc>
          <w:tcPr>
            <w:tcW w:w="1046" w:type="dxa"/>
            <w:vAlign w:val="center"/>
          </w:tcPr>
          <w:p w14:paraId="7AAD686A" w14:textId="3A6B2D11" w:rsidR="006D6630" w:rsidRDefault="00547241" w:rsidP="00F715E8">
            <w:pPr>
              <w:jc w:val="center"/>
            </w:pPr>
            <w:r>
              <w:rPr>
                <w:noProof/>
              </w:rPr>
              <w:drawing>
                <wp:inline distT="0" distB="0" distL="0" distR="0" wp14:anchorId="3CACA95C" wp14:editId="29A55B30">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10714" b="9091"/>
                          <a:stretch/>
                        </pic:blipFill>
                        <pic:spPr bwMode="auto">
                          <a:xfrm>
                            <a:off x="0" y="0"/>
                            <a:ext cx="476250" cy="476250"/>
                          </a:xfrm>
                          <a:prstGeom prst="rect">
                            <a:avLst/>
                          </a:prstGeom>
                          <a:ln>
                            <a:noFill/>
                          </a:ln>
                          <a:extLst>
                            <a:ext uri="{53640926-AAD7-44D8-BBD7-CCE9431645EC}">
                              <a14:shadowObscured xmlns:a14="http://schemas.microsoft.com/office/drawing/2010/main"/>
                            </a:ext>
                          </a:extLst>
                        </pic:spPr>
                      </pic:pic>
                    </a:graphicData>
                  </a:graphic>
                </wp:inline>
              </w:drawing>
            </w:r>
          </w:p>
        </w:tc>
        <w:tc>
          <w:tcPr>
            <w:tcW w:w="7792" w:type="dxa"/>
          </w:tcPr>
          <w:p w14:paraId="7AAD686B" w14:textId="77777777" w:rsidR="006D6630" w:rsidRPr="006D6630" w:rsidRDefault="006D6630">
            <w:pPr>
              <w:rPr>
                <w:u w:val="single"/>
              </w:rPr>
            </w:pPr>
            <w:r w:rsidRPr="006D6630">
              <w:rPr>
                <w:u w:val="single"/>
              </w:rPr>
              <w:t>Isotope space description</w:t>
            </w:r>
          </w:p>
          <w:p w14:paraId="7AAD686C" w14:textId="77777777" w:rsidR="006D6630" w:rsidRDefault="006D6630" w:rsidP="006D6630">
            <w:r>
              <w:t>U = Isotope element symbol.  This isotope is an atom of Uranium</w:t>
            </w:r>
          </w:p>
          <w:p w14:paraId="7AAD686D" w14:textId="77777777" w:rsidR="006D6630" w:rsidRDefault="006D6630" w:rsidP="006D6630">
            <w:r>
              <w:t>235 = Mass number for this isotope of Uranium.  The mass number is the total number of protons and neutrons in this isotope’s nucleus</w:t>
            </w:r>
          </w:p>
          <w:p w14:paraId="7AAD686E" w14:textId="77777777" w:rsidR="006D6630" w:rsidRDefault="006D6630" w:rsidP="006D6630">
            <w:r>
              <w:t>Background color = Grey.  This indicates the isotope is stable</w:t>
            </w:r>
          </w:p>
          <w:p w14:paraId="7AAD686F" w14:textId="07A98558" w:rsidR="00F715E8" w:rsidRDefault="00F715E8" w:rsidP="00F43F25">
            <w:r>
              <w:t xml:space="preserve">The </w:t>
            </w:r>
            <w:r w:rsidR="00F43F25">
              <w:t>star</w:t>
            </w:r>
            <w:r>
              <w:t xml:space="preserve"> border indicates this is the starting isotope for all players.</w:t>
            </w:r>
          </w:p>
        </w:tc>
      </w:tr>
      <w:tr w:rsidR="006D6630" w14:paraId="7AAD6873" w14:textId="77777777" w:rsidTr="00F715E8">
        <w:tc>
          <w:tcPr>
            <w:tcW w:w="1046" w:type="dxa"/>
          </w:tcPr>
          <w:p w14:paraId="7AAD6871" w14:textId="77777777" w:rsidR="006D6630" w:rsidRDefault="006D6630" w:rsidP="006D6630">
            <w:pPr>
              <w:jc w:val="center"/>
            </w:pPr>
            <w:r>
              <w:rPr>
                <w:noProof/>
              </w:rPr>
              <w:drawing>
                <wp:inline distT="0" distB="0" distL="0" distR="0" wp14:anchorId="7AAD68D2" wp14:editId="7AAD68D3">
                  <wp:extent cx="419048" cy="41904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9048" cy="419048"/>
                          </a:xfrm>
                          <a:prstGeom prst="rect">
                            <a:avLst/>
                          </a:prstGeom>
                        </pic:spPr>
                      </pic:pic>
                    </a:graphicData>
                  </a:graphic>
                </wp:inline>
              </w:drawing>
            </w:r>
          </w:p>
        </w:tc>
        <w:tc>
          <w:tcPr>
            <w:tcW w:w="7792" w:type="dxa"/>
          </w:tcPr>
          <w:p w14:paraId="7AAD6872" w14:textId="77777777" w:rsidR="006D6630" w:rsidRDefault="006D6630" w:rsidP="006D6630">
            <w:r>
              <w:t xml:space="preserve">Uranium 234 is an isotope with a half-life greater than </w:t>
            </w:r>
            <w:r w:rsidRPr="006D6630">
              <w:rPr>
                <w:u w:val="single"/>
              </w:rPr>
              <w:t>100 years</w:t>
            </w:r>
            <w:r>
              <w:t xml:space="preserve"> </w:t>
            </w:r>
          </w:p>
        </w:tc>
      </w:tr>
      <w:tr w:rsidR="006D6630" w14:paraId="7AAD6876" w14:textId="77777777" w:rsidTr="00F715E8">
        <w:tc>
          <w:tcPr>
            <w:tcW w:w="1046" w:type="dxa"/>
          </w:tcPr>
          <w:p w14:paraId="7AAD6874" w14:textId="77777777" w:rsidR="006D6630" w:rsidRDefault="006D6630" w:rsidP="00F715E8">
            <w:pPr>
              <w:jc w:val="center"/>
            </w:pPr>
            <w:r>
              <w:rPr>
                <w:noProof/>
              </w:rPr>
              <w:drawing>
                <wp:inline distT="0" distB="0" distL="0" distR="0" wp14:anchorId="7AAD68D4" wp14:editId="7AAD68D5">
                  <wp:extent cx="419048" cy="4095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9048" cy="409524"/>
                          </a:xfrm>
                          <a:prstGeom prst="rect">
                            <a:avLst/>
                          </a:prstGeom>
                        </pic:spPr>
                      </pic:pic>
                    </a:graphicData>
                  </a:graphic>
                </wp:inline>
              </w:drawing>
            </w:r>
          </w:p>
        </w:tc>
        <w:tc>
          <w:tcPr>
            <w:tcW w:w="7792" w:type="dxa"/>
          </w:tcPr>
          <w:p w14:paraId="7AAD6875" w14:textId="77777777" w:rsidR="006D6630" w:rsidRDefault="006D6630" w:rsidP="006D6630">
            <w:r>
              <w:t xml:space="preserve">Neptunium 235 is an isotope with a half-life greater than </w:t>
            </w:r>
            <w:r w:rsidRPr="006D6630">
              <w:rPr>
                <w:u w:val="single"/>
              </w:rPr>
              <w:t>1 year</w:t>
            </w:r>
          </w:p>
        </w:tc>
      </w:tr>
      <w:tr w:rsidR="006D6630" w14:paraId="7AAD6879" w14:textId="77777777" w:rsidTr="00F715E8">
        <w:tc>
          <w:tcPr>
            <w:tcW w:w="1046" w:type="dxa"/>
          </w:tcPr>
          <w:p w14:paraId="7AAD6877" w14:textId="77777777" w:rsidR="006D6630" w:rsidRDefault="006D6630" w:rsidP="00F715E8">
            <w:pPr>
              <w:jc w:val="center"/>
            </w:pPr>
            <w:r>
              <w:rPr>
                <w:noProof/>
              </w:rPr>
              <w:drawing>
                <wp:inline distT="0" distB="0" distL="0" distR="0" wp14:anchorId="7AAD68D6" wp14:editId="7AAD68D7">
                  <wp:extent cx="419048" cy="419048"/>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9048" cy="419048"/>
                          </a:xfrm>
                          <a:prstGeom prst="rect">
                            <a:avLst/>
                          </a:prstGeom>
                        </pic:spPr>
                      </pic:pic>
                    </a:graphicData>
                  </a:graphic>
                </wp:inline>
              </w:drawing>
            </w:r>
          </w:p>
        </w:tc>
        <w:tc>
          <w:tcPr>
            <w:tcW w:w="7792" w:type="dxa"/>
          </w:tcPr>
          <w:p w14:paraId="7AAD6878" w14:textId="77777777" w:rsidR="006D6630" w:rsidRDefault="006D6630" w:rsidP="006D6630">
            <w:r>
              <w:t xml:space="preserve">Polonium 210 is an isotope with a half-life greater than </w:t>
            </w:r>
            <w:r w:rsidRPr="006D6630">
              <w:rPr>
                <w:u w:val="single"/>
              </w:rPr>
              <w:t>30 days</w:t>
            </w:r>
          </w:p>
        </w:tc>
      </w:tr>
      <w:tr w:rsidR="006D6630" w14:paraId="7AAD687C" w14:textId="77777777" w:rsidTr="00F715E8">
        <w:tc>
          <w:tcPr>
            <w:tcW w:w="1046" w:type="dxa"/>
          </w:tcPr>
          <w:p w14:paraId="7AAD687A" w14:textId="77777777" w:rsidR="006D6630" w:rsidRDefault="006D6630" w:rsidP="00F715E8">
            <w:pPr>
              <w:jc w:val="center"/>
            </w:pPr>
            <w:r>
              <w:rPr>
                <w:noProof/>
              </w:rPr>
              <w:drawing>
                <wp:inline distT="0" distB="0" distL="0" distR="0" wp14:anchorId="7AAD68D8" wp14:editId="7AAD68D9">
                  <wp:extent cx="419048" cy="419048"/>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9048" cy="419048"/>
                          </a:xfrm>
                          <a:prstGeom prst="rect">
                            <a:avLst/>
                          </a:prstGeom>
                        </pic:spPr>
                      </pic:pic>
                    </a:graphicData>
                  </a:graphic>
                </wp:inline>
              </w:drawing>
            </w:r>
          </w:p>
        </w:tc>
        <w:tc>
          <w:tcPr>
            <w:tcW w:w="7792" w:type="dxa"/>
          </w:tcPr>
          <w:p w14:paraId="7AAD687B" w14:textId="77777777" w:rsidR="006D6630" w:rsidRDefault="006D6630" w:rsidP="006D6630">
            <w:r>
              <w:t xml:space="preserve">Thorium 227 is an isotope with a half-life greater than </w:t>
            </w:r>
            <w:r w:rsidRPr="006D6630">
              <w:rPr>
                <w:u w:val="single"/>
              </w:rPr>
              <w:t>1 hour</w:t>
            </w:r>
          </w:p>
        </w:tc>
      </w:tr>
      <w:tr w:rsidR="006D6630" w14:paraId="7AAD687F" w14:textId="77777777" w:rsidTr="00F715E8">
        <w:tc>
          <w:tcPr>
            <w:tcW w:w="1046" w:type="dxa"/>
          </w:tcPr>
          <w:p w14:paraId="7AAD687D" w14:textId="77777777" w:rsidR="006D6630" w:rsidRDefault="006D6630" w:rsidP="00F715E8">
            <w:pPr>
              <w:jc w:val="center"/>
            </w:pPr>
            <w:r>
              <w:rPr>
                <w:noProof/>
              </w:rPr>
              <w:drawing>
                <wp:inline distT="0" distB="0" distL="0" distR="0" wp14:anchorId="7AAD68DA" wp14:editId="7AAD68DB">
                  <wp:extent cx="419048" cy="419048"/>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9048" cy="419048"/>
                          </a:xfrm>
                          <a:prstGeom prst="rect">
                            <a:avLst/>
                          </a:prstGeom>
                        </pic:spPr>
                      </pic:pic>
                    </a:graphicData>
                  </a:graphic>
                </wp:inline>
              </w:drawing>
            </w:r>
          </w:p>
        </w:tc>
        <w:tc>
          <w:tcPr>
            <w:tcW w:w="7792" w:type="dxa"/>
          </w:tcPr>
          <w:p w14:paraId="7AAD687E" w14:textId="77777777" w:rsidR="006D6630" w:rsidRDefault="006D6630">
            <w:r>
              <w:t xml:space="preserve">Bismuth 217 is an isotope with a half-life greater than </w:t>
            </w:r>
            <w:r w:rsidRPr="006D6630">
              <w:rPr>
                <w:u w:val="single"/>
              </w:rPr>
              <w:t>1 minute</w:t>
            </w:r>
          </w:p>
        </w:tc>
      </w:tr>
      <w:tr w:rsidR="006D6630" w14:paraId="7AAD6882" w14:textId="77777777" w:rsidTr="00F715E8">
        <w:tc>
          <w:tcPr>
            <w:tcW w:w="1046" w:type="dxa"/>
          </w:tcPr>
          <w:p w14:paraId="7AAD6880" w14:textId="77777777" w:rsidR="006D6630" w:rsidRDefault="006D6630" w:rsidP="00F715E8">
            <w:pPr>
              <w:jc w:val="center"/>
            </w:pPr>
            <w:r>
              <w:rPr>
                <w:noProof/>
              </w:rPr>
              <w:drawing>
                <wp:inline distT="0" distB="0" distL="0" distR="0" wp14:anchorId="7AAD68DC" wp14:editId="7AAD68DD">
                  <wp:extent cx="419048" cy="419048"/>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9048" cy="419048"/>
                          </a:xfrm>
                          <a:prstGeom prst="rect">
                            <a:avLst/>
                          </a:prstGeom>
                        </pic:spPr>
                      </pic:pic>
                    </a:graphicData>
                  </a:graphic>
                </wp:inline>
              </w:drawing>
            </w:r>
          </w:p>
        </w:tc>
        <w:tc>
          <w:tcPr>
            <w:tcW w:w="7792" w:type="dxa"/>
          </w:tcPr>
          <w:p w14:paraId="7AAD6881" w14:textId="77777777" w:rsidR="006D6630" w:rsidRDefault="006D6630">
            <w:r>
              <w:t xml:space="preserve">Francium 209 is an isotope with a half-life greater than </w:t>
            </w:r>
            <w:r w:rsidRPr="006D6630">
              <w:rPr>
                <w:u w:val="single"/>
              </w:rPr>
              <w:t>1 second</w:t>
            </w:r>
          </w:p>
        </w:tc>
      </w:tr>
      <w:tr w:rsidR="00F715E8" w14:paraId="7AAD6885" w14:textId="77777777" w:rsidTr="00F715E8">
        <w:tc>
          <w:tcPr>
            <w:tcW w:w="1046" w:type="dxa"/>
          </w:tcPr>
          <w:p w14:paraId="7AAD6883" w14:textId="77777777" w:rsidR="00F715E8" w:rsidRDefault="00F715E8" w:rsidP="00F715E8">
            <w:pPr>
              <w:jc w:val="center"/>
              <w:rPr>
                <w:noProof/>
              </w:rPr>
            </w:pPr>
            <w:r>
              <w:rPr>
                <w:noProof/>
              </w:rPr>
              <w:drawing>
                <wp:inline distT="0" distB="0" distL="0" distR="0" wp14:anchorId="7AAD68DE" wp14:editId="7AAD68DF">
                  <wp:extent cx="419048" cy="419048"/>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9048" cy="419048"/>
                          </a:xfrm>
                          <a:prstGeom prst="rect">
                            <a:avLst/>
                          </a:prstGeom>
                        </pic:spPr>
                      </pic:pic>
                    </a:graphicData>
                  </a:graphic>
                </wp:inline>
              </w:drawing>
            </w:r>
          </w:p>
        </w:tc>
        <w:tc>
          <w:tcPr>
            <w:tcW w:w="7792" w:type="dxa"/>
          </w:tcPr>
          <w:p w14:paraId="7AAD6884" w14:textId="77777777" w:rsidR="00F715E8" w:rsidRDefault="00F715E8">
            <w:r>
              <w:t xml:space="preserve">Protactinium 216 is an isotope with a half-life greater than </w:t>
            </w:r>
            <w:r w:rsidRPr="00F715E8">
              <w:rPr>
                <w:u w:val="single"/>
              </w:rPr>
              <w:t>100 milliseconds</w:t>
            </w:r>
            <w:r>
              <w:t xml:space="preserve"> </w:t>
            </w:r>
          </w:p>
        </w:tc>
      </w:tr>
      <w:tr w:rsidR="006D6630" w14:paraId="7AAD6888" w14:textId="77777777" w:rsidTr="00F715E8">
        <w:tc>
          <w:tcPr>
            <w:tcW w:w="1046" w:type="dxa"/>
          </w:tcPr>
          <w:p w14:paraId="7AAD6886" w14:textId="77777777" w:rsidR="006D6630" w:rsidRDefault="006D6630" w:rsidP="00F715E8">
            <w:pPr>
              <w:jc w:val="center"/>
            </w:pPr>
            <w:r>
              <w:rPr>
                <w:noProof/>
              </w:rPr>
              <w:drawing>
                <wp:inline distT="0" distB="0" distL="0" distR="0" wp14:anchorId="7AAD68E0" wp14:editId="7AAD68E1">
                  <wp:extent cx="419048" cy="419048"/>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9048" cy="419048"/>
                          </a:xfrm>
                          <a:prstGeom prst="rect">
                            <a:avLst/>
                          </a:prstGeom>
                        </pic:spPr>
                      </pic:pic>
                    </a:graphicData>
                  </a:graphic>
                </wp:inline>
              </w:drawing>
            </w:r>
          </w:p>
        </w:tc>
        <w:tc>
          <w:tcPr>
            <w:tcW w:w="7792" w:type="dxa"/>
          </w:tcPr>
          <w:p w14:paraId="7AAD6887" w14:textId="77777777" w:rsidR="006D6630" w:rsidRDefault="00F715E8">
            <w:r>
              <w:t xml:space="preserve">Radon 217 is an isotope with a </w:t>
            </w:r>
            <w:r w:rsidRPr="00F715E8">
              <w:rPr>
                <w:u w:val="single"/>
              </w:rPr>
              <w:t>very short</w:t>
            </w:r>
            <w:r>
              <w:t xml:space="preserve"> half-life</w:t>
            </w:r>
          </w:p>
        </w:tc>
      </w:tr>
      <w:tr w:rsidR="00F715E8" w14:paraId="7AAD688B" w14:textId="77777777" w:rsidTr="00F715E8">
        <w:tc>
          <w:tcPr>
            <w:tcW w:w="1046" w:type="dxa"/>
          </w:tcPr>
          <w:p w14:paraId="7AAD6889" w14:textId="77777777" w:rsidR="00F715E8" w:rsidRDefault="00F715E8" w:rsidP="00F715E8">
            <w:pPr>
              <w:jc w:val="center"/>
              <w:rPr>
                <w:noProof/>
              </w:rPr>
            </w:pPr>
            <w:r>
              <w:rPr>
                <w:noProof/>
              </w:rPr>
              <w:drawing>
                <wp:inline distT="0" distB="0" distL="0" distR="0" wp14:anchorId="7AAD68E2" wp14:editId="7AAD68E3">
                  <wp:extent cx="419048" cy="419048"/>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9048" cy="419048"/>
                          </a:xfrm>
                          <a:prstGeom prst="rect">
                            <a:avLst/>
                          </a:prstGeom>
                        </pic:spPr>
                      </pic:pic>
                    </a:graphicData>
                  </a:graphic>
                </wp:inline>
              </w:drawing>
            </w:r>
          </w:p>
        </w:tc>
        <w:tc>
          <w:tcPr>
            <w:tcW w:w="7792" w:type="dxa"/>
          </w:tcPr>
          <w:p w14:paraId="7AAD688A" w14:textId="77777777" w:rsidR="00F715E8" w:rsidRDefault="00F715E8">
            <w:r>
              <w:t xml:space="preserve">Uranium 220 is an isotope that has not yet been discovered and </w:t>
            </w:r>
            <w:r w:rsidR="00B95FDD" w:rsidRPr="00B95FDD">
              <w:rPr>
                <w:u w:val="single"/>
              </w:rPr>
              <w:t>research and development (</w:t>
            </w:r>
            <w:r w:rsidRPr="00B95FDD">
              <w:rPr>
                <w:u w:val="single"/>
              </w:rPr>
              <w:t>R&amp;D</w:t>
            </w:r>
            <w:r w:rsidR="00B95FDD" w:rsidRPr="00B95FDD">
              <w:rPr>
                <w:u w:val="single"/>
              </w:rPr>
              <w:t>)</w:t>
            </w:r>
            <w:r w:rsidRPr="00F715E8">
              <w:rPr>
                <w:u w:val="single"/>
              </w:rPr>
              <w:t xml:space="preserve"> is required</w:t>
            </w:r>
          </w:p>
        </w:tc>
      </w:tr>
    </w:tbl>
    <w:p w14:paraId="7AAD688C" w14:textId="77777777" w:rsidR="00F715E8" w:rsidRDefault="00F715E8"/>
    <w:p w14:paraId="7AAD688D" w14:textId="77777777" w:rsidR="00157E73" w:rsidRDefault="00157E73">
      <w:r>
        <w:t xml:space="preserve">One deck of decay cards.  Each deck includes five different types of radioactive decay cards plus one “wild” card. </w:t>
      </w:r>
      <w:r w:rsidR="004E16C6">
        <w:t xml:space="preserve">  These cards are used to move yourself or your opponents on the game board.</w:t>
      </w:r>
      <w:r w:rsidR="00F715E8">
        <w:t xml:space="preserve">  An example with a description of each part of the card is described below</w:t>
      </w:r>
    </w:p>
    <w:tbl>
      <w:tblPr>
        <w:tblStyle w:val="TableGrid"/>
        <w:tblW w:w="0" w:type="auto"/>
        <w:tblLook w:val="04A0" w:firstRow="1" w:lastRow="0" w:firstColumn="1" w:lastColumn="0" w:noHBand="0" w:noVBand="1"/>
      </w:tblPr>
      <w:tblGrid>
        <w:gridCol w:w="4160"/>
        <w:gridCol w:w="5416"/>
      </w:tblGrid>
      <w:tr w:rsidR="00F715E8" w14:paraId="7AAD6894" w14:textId="77777777" w:rsidTr="00B95FDD">
        <w:tc>
          <w:tcPr>
            <w:tcW w:w="4160" w:type="dxa"/>
            <w:vAlign w:val="center"/>
          </w:tcPr>
          <w:p w14:paraId="7AAD688E" w14:textId="1B693071" w:rsidR="00F715E8" w:rsidRDefault="00D21DD9" w:rsidP="00B95FDD">
            <w:pPr>
              <w:jc w:val="center"/>
            </w:pPr>
            <w:r>
              <w:rPr>
                <w:noProof/>
              </w:rPr>
              <w:lastRenderedPageBreak/>
              <w:drawing>
                <wp:inline distT="0" distB="0" distL="0" distR="0" wp14:anchorId="281B1D41" wp14:editId="41A759F8">
                  <wp:extent cx="2000250" cy="27279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3456" cy="2732275"/>
                          </a:xfrm>
                          <a:prstGeom prst="rect">
                            <a:avLst/>
                          </a:prstGeom>
                          <a:noFill/>
                          <a:ln>
                            <a:noFill/>
                          </a:ln>
                        </pic:spPr>
                      </pic:pic>
                    </a:graphicData>
                  </a:graphic>
                </wp:inline>
              </w:drawing>
            </w:r>
          </w:p>
        </w:tc>
        <w:tc>
          <w:tcPr>
            <w:tcW w:w="5416" w:type="dxa"/>
          </w:tcPr>
          <w:p w14:paraId="7AAD688F" w14:textId="14EF58C5" w:rsidR="00F715E8" w:rsidRDefault="00D21DD9">
            <w:r>
              <w:t>This is the</w:t>
            </w:r>
            <w:r w:rsidR="00F715E8">
              <w:t xml:space="preserve"> “wild” card.  Players who choose to play this card can move two spaces on the board in any direction.</w:t>
            </w:r>
          </w:p>
          <w:p w14:paraId="7AAD6890" w14:textId="77777777" w:rsidR="00F715E8" w:rsidRDefault="00F715E8"/>
          <w:p w14:paraId="7AAD6891" w14:textId="77777777" w:rsidR="00FB5EAA" w:rsidRDefault="00F715E8">
            <w:r>
              <w:t xml:space="preserve">The </w:t>
            </w:r>
            <w:r w:rsidRPr="00F715E8">
              <w:rPr>
                <w:b/>
              </w:rPr>
              <w:t>parent</w:t>
            </w:r>
            <w:r>
              <w:t xml:space="preserve"> indicates the player’s starting atom.  The </w:t>
            </w:r>
            <w:r w:rsidRPr="00F715E8">
              <w:rPr>
                <w:b/>
              </w:rPr>
              <w:t>daughter</w:t>
            </w:r>
            <w:r>
              <w:t xml:space="preserve"> indicates the player’s ending atom.</w:t>
            </w:r>
          </w:p>
          <w:p w14:paraId="7AAD6892" w14:textId="77777777" w:rsidR="00F715E8" w:rsidRDefault="00F715E8"/>
          <w:p w14:paraId="7AAD6893" w14:textId="77777777" w:rsidR="00F715E8" w:rsidRDefault="00F715E8"/>
        </w:tc>
      </w:tr>
      <w:tr w:rsidR="00F715E8" w14:paraId="7AAD6897" w14:textId="77777777" w:rsidTr="00B95FDD">
        <w:tc>
          <w:tcPr>
            <w:tcW w:w="4160" w:type="dxa"/>
            <w:vAlign w:val="center"/>
          </w:tcPr>
          <w:p w14:paraId="7AAD6895" w14:textId="592DD532" w:rsidR="00F715E8" w:rsidRDefault="00D81FEE" w:rsidP="00B95FDD">
            <w:pPr>
              <w:jc w:val="center"/>
            </w:pPr>
            <w:r>
              <w:rPr>
                <w:noProof/>
              </w:rPr>
              <w:drawing>
                <wp:inline distT="0" distB="0" distL="0" distR="0" wp14:anchorId="631F0A14" wp14:editId="534D57CA">
                  <wp:extent cx="714375" cy="733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tc>
        <w:tc>
          <w:tcPr>
            <w:tcW w:w="5416" w:type="dxa"/>
          </w:tcPr>
          <w:p w14:paraId="7AAD6896" w14:textId="680E3B5E" w:rsidR="00F715E8" w:rsidRDefault="00FB5EAA" w:rsidP="00B1723D">
            <w:r>
              <w:t xml:space="preserve">This is the </w:t>
            </w:r>
            <w:r w:rsidRPr="00FB5EAA">
              <w:rPr>
                <w:b/>
              </w:rPr>
              <w:t>attack</w:t>
            </w:r>
            <w:r>
              <w:t xml:space="preserve"> symbol.  Players force an opponent to move if the dice rolled is greater than or equal to the number inside this symbol (</w:t>
            </w:r>
            <w:r>
              <w:rPr>
                <w:rFonts w:cstheme="minorHAnsi"/>
              </w:rPr>
              <w:t>≥</w:t>
            </w:r>
            <w:r>
              <w:t>4)</w:t>
            </w:r>
          </w:p>
        </w:tc>
      </w:tr>
      <w:tr w:rsidR="00F715E8" w14:paraId="7AAD689A" w14:textId="77777777" w:rsidTr="00B95FDD">
        <w:tc>
          <w:tcPr>
            <w:tcW w:w="4160" w:type="dxa"/>
            <w:vAlign w:val="center"/>
          </w:tcPr>
          <w:p w14:paraId="7AAD6898" w14:textId="71812AAF" w:rsidR="00F715E8" w:rsidRDefault="00D81FEE" w:rsidP="00B95FDD">
            <w:pPr>
              <w:jc w:val="center"/>
            </w:pPr>
            <w:r>
              <w:rPr>
                <w:noProof/>
              </w:rPr>
              <w:drawing>
                <wp:inline distT="0" distB="0" distL="0" distR="0" wp14:anchorId="58DEB5BF" wp14:editId="4EC187BD">
                  <wp:extent cx="714375" cy="7429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tc>
        <w:tc>
          <w:tcPr>
            <w:tcW w:w="5416" w:type="dxa"/>
          </w:tcPr>
          <w:p w14:paraId="7AAD6899" w14:textId="77777777" w:rsidR="00F715E8" w:rsidRDefault="00FB5EAA" w:rsidP="00FB5EAA">
            <w:r>
              <w:t xml:space="preserve">This is the </w:t>
            </w:r>
            <w:r w:rsidRPr="00FB5EAA">
              <w:rPr>
                <w:b/>
              </w:rPr>
              <w:t>defense</w:t>
            </w:r>
            <w:r>
              <w:t xml:space="preserve"> symbol.  Players may move their own token if the dice rolled is greater than or equal to the number inside this symbol (</w:t>
            </w:r>
            <w:r>
              <w:rPr>
                <w:rFonts w:cstheme="minorHAnsi"/>
              </w:rPr>
              <w:t>≥</w:t>
            </w:r>
            <w:r>
              <w:t>3)</w:t>
            </w:r>
          </w:p>
        </w:tc>
      </w:tr>
      <w:tr w:rsidR="00F715E8" w14:paraId="7AAD689D" w14:textId="77777777" w:rsidTr="00B95FDD">
        <w:tc>
          <w:tcPr>
            <w:tcW w:w="4160" w:type="dxa"/>
            <w:vAlign w:val="center"/>
          </w:tcPr>
          <w:p w14:paraId="7AAD689B" w14:textId="47DAC486" w:rsidR="00F715E8" w:rsidRDefault="00D81FEE" w:rsidP="00B95FDD">
            <w:pPr>
              <w:jc w:val="center"/>
            </w:pPr>
            <w:r>
              <w:rPr>
                <w:noProof/>
              </w:rPr>
              <w:drawing>
                <wp:inline distT="0" distB="0" distL="0" distR="0" wp14:anchorId="12B33767" wp14:editId="05333F5A">
                  <wp:extent cx="752475" cy="704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 r="4820"/>
                          <a:stretch/>
                        </pic:blipFill>
                        <pic:spPr bwMode="auto">
                          <a:xfrm>
                            <a:off x="0" y="0"/>
                            <a:ext cx="752475" cy="704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16" w:type="dxa"/>
          </w:tcPr>
          <w:p w14:paraId="7AAD689C" w14:textId="74FAB7D2" w:rsidR="00F715E8" w:rsidRDefault="00FB5EAA" w:rsidP="00D21DD9">
            <w:r>
              <w:t xml:space="preserve">This is the </w:t>
            </w:r>
            <w:r w:rsidRPr="00FB5EAA">
              <w:rPr>
                <w:b/>
              </w:rPr>
              <w:t>dice</w:t>
            </w:r>
            <w:r w:rsidR="00D21DD9">
              <w:t xml:space="preserve"> symbol.  The player rolls a D10 dice when playing the wild </w:t>
            </w:r>
            <w:r>
              <w:t>card.</w:t>
            </w:r>
          </w:p>
        </w:tc>
      </w:tr>
    </w:tbl>
    <w:p w14:paraId="7AAD689E" w14:textId="77777777" w:rsidR="00F715E8" w:rsidRDefault="00F715E8"/>
    <w:p w14:paraId="7AAD689F" w14:textId="77777777" w:rsidR="00157E73" w:rsidRDefault="00157E73">
      <w:r>
        <w:t>Dice.  Each type of dice is colored and the four types listed below:</w:t>
      </w:r>
    </w:p>
    <w:tbl>
      <w:tblPr>
        <w:tblStyle w:val="TableGrid"/>
        <w:tblW w:w="0" w:type="auto"/>
        <w:jc w:val="center"/>
        <w:tblLook w:val="04A0" w:firstRow="1" w:lastRow="0" w:firstColumn="1" w:lastColumn="0" w:noHBand="0" w:noVBand="1"/>
      </w:tblPr>
      <w:tblGrid>
        <w:gridCol w:w="2394"/>
        <w:gridCol w:w="2394"/>
        <w:gridCol w:w="2394"/>
        <w:gridCol w:w="2394"/>
      </w:tblGrid>
      <w:tr w:rsidR="00B95FDD" w14:paraId="7AAD68A4" w14:textId="77777777" w:rsidTr="004D6125">
        <w:trPr>
          <w:jc w:val="center"/>
        </w:trPr>
        <w:tc>
          <w:tcPr>
            <w:tcW w:w="2394" w:type="dxa"/>
            <w:vAlign w:val="center"/>
          </w:tcPr>
          <w:p w14:paraId="7AAD68A0" w14:textId="77777777" w:rsidR="00B95FDD" w:rsidRPr="00E545D4" w:rsidRDefault="00B95FDD" w:rsidP="00A05690">
            <w:pPr>
              <w:jc w:val="center"/>
              <w:rPr>
                <w:i/>
              </w:rPr>
            </w:pPr>
            <w:r w:rsidRPr="00E545D4">
              <w:rPr>
                <w:i/>
              </w:rPr>
              <w:t>Type</w:t>
            </w:r>
          </w:p>
        </w:tc>
        <w:tc>
          <w:tcPr>
            <w:tcW w:w="2394" w:type="dxa"/>
            <w:vAlign w:val="center"/>
          </w:tcPr>
          <w:p w14:paraId="7AAD68A1" w14:textId="77777777" w:rsidR="00B95FDD" w:rsidRPr="00E545D4" w:rsidRDefault="00B95FDD" w:rsidP="00A05690">
            <w:pPr>
              <w:jc w:val="center"/>
              <w:rPr>
                <w:i/>
              </w:rPr>
            </w:pPr>
            <w:r w:rsidRPr="00E545D4">
              <w:rPr>
                <w:i/>
              </w:rPr>
              <w:t>Number</w:t>
            </w:r>
            <w:r>
              <w:rPr>
                <w:i/>
              </w:rPr>
              <w:t xml:space="preserve"> included</w:t>
            </w:r>
          </w:p>
        </w:tc>
        <w:tc>
          <w:tcPr>
            <w:tcW w:w="2394" w:type="dxa"/>
            <w:vAlign w:val="center"/>
          </w:tcPr>
          <w:p w14:paraId="7AAD68A2" w14:textId="77777777" w:rsidR="00B95FDD" w:rsidRPr="00E545D4" w:rsidRDefault="00B95FDD" w:rsidP="00A05690">
            <w:pPr>
              <w:jc w:val="center"/>
              <w:rPr>
                <w:i/>
              </w:rPr>
            </w:pPr>
            <w:r w:rsidRPr="00E545D4">
              <w:rPr>
                <w:i/>
              </w:rPr>
              <w:t>Color</w:t>
            </w:r>
          </w:p>
        </w:tc>
        <w:tc>
          <w:tcPr>
            <w:tcW w:w="2394" w:type="dxa"/>
          </w:tcPr>
          <w:p w14:paraId="7AAD68A3" w14:textId="77777777" w:rsidR="00B95FDD" w:rsidRPr="00E545D4" w:rsidRDefault="00B95FDD" w:rsidP="00B95FDD">
            <w:pPr>
              <w:jc w:val="center"/>
              <w:rPr>
                <w:i/>
              </w:rPr>
            </w:pPr>
            <w:r>
              <w:rPr>
                <w:i/>
              </w:rPr>
              <w:t>To be used during</w:t>
            </w:r>
          </w:p>
        </w:tc>
      </w:tr>
      <w:tr w:rsidR="00B95FDD" w14:paraId="7AAD68A9" w14:textId="77777777" w:rsidTr="004D6125">
        <w:trPr>
          <w:jc w:val="center"/>
        </w:trPr>
        <w:tc>
          <w:tcPr>
            <w:tcW w:w="2394" w:type="dxa"/>
            <w:vAlign w:val="center"/>
          </w:tcPr>
          <w:p w14:paraId="7AAD68A5" w14:textId="77777777" w:rsidR="00B95FDD" w:rsidRDefault="00B95FDD" w:rsidP="00A05690">
            <w:pPr>
              <w:jc w:val="center"/>
            </w:pPr>
            <w:r>
              <w:t>Four-sided (D4)</w:t>
            </w:r>
          </w:p>
        </w:tc>
        <w:tc>
          <w:tcPr>
            <w:tcW w:w="2394" w:type="dxa"/>
            <w:vAlign w:val="center"/>
          </w:tcPr>
          <w:p w14:paraId="7AAD68A6" w14:textId="77777777" w:rsidR="00B95FDD" w:rsidRDefault="00B95FDD" w:rsidP="00A05690">
            <w:pPr>
              <w:jc w:val="center"/>
            </w:pPr>
            <w:r>
              <w:t>5</w:t>
            </w:r>
          </w:p>
        </w:tc>
        <w:tc>
          <w:tcPr>
            <w:tcW w:w="2394" w:type="dxa"/>
            <w:vAlign w:val="center"/>
          </w:tcPr>
          <w:p w14:paraId="7AAD68A7" w14:textId="77777777" w:rsidR="00B95FDD" w:rsidRDefault="00B95FDD" w:rsidP="00A05690">
            <w:pPr>
              <w:jc w:val="center"/>
            </w:pPr>
            <w:r>
              <w:t>Red</w:t>
            </w:r>
          </w:p>
        </w:tc>
        <w:tc>
          <w:tcPr>
            <w:tcW w:w="2394" w:type="dxa"/>
          </w:tcPr>
          <w:p w14:paraId="7AAD68A8" w14:textId="77777777" w:rsidR="00B95FDD" w:rsidRDefault="00B95FDD" w:rsidP="00A05690">
            <w:pPr>
              <w:jc w:val="center"/>
            </w:pPr>
            <w:r>
              <w:t xml:space="preserve">Alpha Decay </w:t>
            </w:r>
          </w:p>
        </w:tc>
      </w:tr>
      <w:tr w:rsidR="00B95FDD" w14:paraId="7AAD68AE" w14:textId="77777777" w:rsidTr="004D6125">
        <w:trPr>
          <w:jc w:val="center"/>
        </w:trPr>
        <w:tc>
          <w:tcPr>
            <w:tcW w:w="2394" w:type="dxa"/>
            <w:vAlign w:val="center"/>
          </w:tcPr>
          <w:p w14:paraId="7AAD68AA" w14:textId="77777777" w:rsidR="00B95FDD" w:rsidRDefault="00B95FDD" w:rsidP="00A05690">
            <w:pPr>
              <w:jc w:val="center"/>
            </w:pPr>
            <w:r>
              <w:t>Six-sided (D6)</w:t>
            </w:r>
          </w:p>
        </w:tc>
        <w:tc>
          <w:tcPr>
            <w:tcW w:w="2394" w:type="dxa"/>
            <w:vAlign w:val="center"/>
          </w:tcPr>
          <w:p w14:paraId="7AAD68AB" w14:textId="77777777" w:rsidR="00B95FDD" w:rsidRDefault="00B95FDD" w:rsidP="00A05690">
            <w:pPr>
              <w:jc w:val="center"/>
            </w:pPr>
            <w:r>
              <w:t>15</w:t>
            </w:r>
          </w:p>
        </w:tc>
        <w:tc>
          <w:tcPr>
            <w:tcW w:w="2394" w:type="dxa"/>
            <w:vAlign w:val="center"/>
          </w:tcPr>
          <w:p w14:paraId="7AAD68AC" w14:textId="77777777" w:rsidR="00B95FDD" w:rsidRDefault="00B95FDD" w:rsidP="00A05690">
            <w:pPr>
              <w:jc w:val="center"/>
            </w:pPr>
            <w:r>
              <w:t>White</w:t>
            </w:r>
          </w:p>
        </w:tc>
        <w:tc>
          <w:tcPr>
            <w:tcW w:w="2394" w:type="dxa"/>
          </w:tcPr>
          <w:p w14:paraId="7AAD68AD" w14:textId="77777777" w:rsidR="00B95FDD" w:rsidRDefault="00B95FDD" w:rsidP="00A05690">
            <w:pPr>
              <w:jc w:val="center"/>
            </w:pPr>
            <w:r>
              <w:t>Neutron Absorption, Neutron Emission, or spontaneous decay</w:t>
            </w:r>
          </w:p>
        </w:tc>
      </w:tr>
      <w:tr w:rsidR="00B95FDD" w14:paraId="7AAD68B3" w14:textId="77777777" w:rsidTr="004D6125">
        <w:trPr>
          <w:jc w:val="center"/>
        </w:trPr>
        <w:tc>
          <w:tcPr>
            <w:tcW w:w="2394" w:type="dxa"/>
            <w:vAlign w:val="center"/>
          </w:tcPr>
          <w:p w14:paraId="7AAD68AF" w14:textId="77777777" w:rsidR="00B95FDD" w:rsidRDefault="00B95FDD" w:rsidP="00157E73">
            <w:pPr>
              <w:jc w:val="center"/>
            </w:pPr>
            <w:r>
              <w:t>Eight-sided (D8)</w:t>
            </w:r>
          </w:p>
        </w:tc>
        <w:tc>
          <w:tcPr>
            <w:tcW w:w="2394" w:type="dxa"/>
            <w:vAlign w:val="center"/>
          </w:tcPr>
          <w:p w14:paraId="7AAD68B0" w14:textId="77777777" w:rsidR="00B95FDD" w:rsidRDefault="00B95FDD" w:rsidP="00A05690">
            <w:pPr>
              <w:jc w:val="center"/>
            </w:pPr>
            <w:r>
              <w:t>5</w:t>
            </w:r>
          </w:p>
        </w:tc>
        <w:tc>
          <w:tcPr>
            <w:tcW w:w="2394" w:type="dxa"/>
            <w:vAlign w:val="center"/>
          </w:tcPr>
          <w:p w14:paraId="7AAD68B1" w14:textId="77777777" w:rsidR="00B95FDD" w:rsidRDefault="00B95FDD" w:rsidP="00A05690">
            <w:pPr>
              <w:jc w:val="center"/>
            </w:pPr>
            <w:r>
              <w:t>Blue</w:t>
            </w:r>
          </w:p>
        </w:tc>
        <w:tc>
          <w:tcPr>
            <w:tcW w:w="2394" w:type="dxa"/>
          </w:tcPr>
          <w:p w14:paraId="7AAD68B2" w14:textId="77777777" w:rsidR="00B95FDD" w:rsidRDefault="00B95FDD" w:rsidP="00A05690">
            <w:pPr>
              <w:jc w:val="center"/>
            </w:pPr>
            <w:r>
              <w:t>Beta or Beta-Positron Emission</w:t>
            </w:r>
          </w:p>
        </w:tc>
      </w:tr>
      <w:tr w:rsidR="00B95FDD" w14:paraId="7AAD68B8" w14:textId="77777777" w:rsidTr="004D6125">
        <w:trPr>
          <w:jc w:val="center"/>
        </w:trPr>
        <w:tc>
          <w:tcPr>
            <w:tcW w:w="2394" w:type="dxa"/>
            <w:vAlign w:val="center"/>
          </w:tcPr>
          <w:p w14:paraId="7AAD68B4" w14:textId="77777777" w:rsidR="00B95FDD" w:rsidRDefault="00B95FDD" w:rsidP="00A05690">
            <w:pPr>
              <w:jc w:val="center"/>
            </w:pPr>
            <w:r>
              <w:t>Ten-sided (D10)</w:t>
            </w:r>
          </w:p>
        </w:tc>
        <w:tc>
          <w:tcPr>
            <w:tcW w:w="2394" w:type="dxa"/>
            <w:vAlign w:val="center"/>
          </w:tcPr>
          <w:p w14:paraId="7AAD68B5" w14:textId="77777777" w:rsidR="00B95FDD" w:rsidRDefault="00B95FDD" w:rsidP="00A05690">
            <w:pPr>
              <w:jc w:val="center"/>
            </w:pPr>
            <w:r>
              <w:t>5</w:t>
            </w:r>
          </w:p>
        </w:tc>
        <w:tc>
          <w:tcPr>
            <w:tcW w:w="2394" w:type="dxa"/>
            <w:vAlign w:val="center"/>
          </w:tcPr>
          <w:p w14:paraId="7AAD68B6" w14:textId="77777777" w:rsidR="00B95FDD" w:rsidRDefault="00B95FDD" w:rsidP="00A05690">
            <w:pPr>
              <w:jc w:val="center"/>
            </w:pPr>
            <w:r>
              <w:t>Green</w:t>
            </w:r>
          </w:p>
        </w:tc>
        <w:tc>
          <w:tcPr>
            <w:tcW w:w="2394" w:type="dxa"/>
          </w:tcPr>
          <w:p w14:paraId="7AAD68B7" w14:textId="77777777" w:rsidR="00B95FDD" w:rsidRDefault="00B95FDD" w:rsidP="00A05690">
            <w:pPr>
              <w:jc w:val="center"/>
            </w:pPr>
            <w:r>
              <w:t>“Wild” card</w:t>
            </w:r>
          </w:p>
        </w:tc>
      </w:tr>
    </w:tbl>
    <w:p w14:paraId="7AAD68B9" w14:textId="77777777" w:rsidR="00157E73" w:rsidRDefault="00157E73"/>
    <w:p w14:paraId="7AAD68BB" w14:textId="5D92E6D4" w:rsidR="00B95FDD" w:rsidRDefault="00FB5EAA">
      <w:pPr>
        <w:rPr>
          <w:rFonts w:asciiTheme="majorHAnsi" w:eastAsiaTheme="majorEastAsia" w:hAnsiTheme="majorHAnsi" w:cstheme="majorBidi"/>
          <w:b/>
          <w:bCs/>
          <w:color w:val="4F81BD" w:themeColor="accent1"/>
          <w:sz w:val="26"/>
          <w:szCs w:val="26"/>
        </w:rPr>
      </w:pPr>
      <w:r>
        <w:t>R&amp;D Cone</w:t>
      </w:r>
      <w:r w:rsidR="00B95FDD">
        <w:t>.  If a player ends a turn on a space marked “R&amp;D Required”, that player loses her next turn.</w:t>
      </w:r>
      <w:r w:rsidR="002F16ED" w:rsidRPr="002F16ED">
        <w:t xml:space="preserve"> </w:t>
      </w:r>
      <w:r w:rsidR="002F16ED">
        <w:rPr>
          <w:noProof/>
        </w:rPr>
        <w:drawing>
          <wp:inline distT="0" distB="0" distL="0" distR="0" wp14:anchorId="31DE7CE0" wp14:editId="1AE8EF37">
            <wp:extent cx="666750" cy="666750"/>
            <wp:effectExtent l="0" t="0" r="0" b="0"/>
            <wp:docPr id="20" name="Picture 20" descr="https://s3.amazonaws.com/preview.thegamecrafter.com/B3F0A610-FB58-11E0-915A-F2379966D1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amazonaws.com/preview.thegamecrafter.com/B3F0A610-FB58-11E0-915A-F2379966D12C.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B95FDD">
        <w:br w:type="page"/>
      </w:r>
    </w:p>
    <w:p w14:paraId="7AAD68BC" w14:textId="77777777" w:rsidR="00157E73" w:rsidRDefault="00157E73" w:rsidP="007771C4">
      <w:pPr>
        <w:pStyle w:val="Heading2"/>
      </w:pPr>
      <w:r>
        <w:lastRenderedPageBreak/>
        <w:t>Setup:</w:t>
      </w:r>
    </w:p>
    <w:p w14:paraId="7AAD68BD" w14:textId="77777777" w:rsidR="00157E73" w:rsidRDefault="007771C4">
      <w:r>
        <w:t>Choose your player disc</w:t>
      </w:r>
      <w:r w:rsidR="00157E73">
        <w:t xml:space="preserve"> </w:t>
      </w:r>
      <w:r>
        <w:t>and take one six-</w:t>
      </w:r>
      <w:r w:rsidR="00157E73">
        <w:t xml:space="preserve">sided dice (D6).  Shuffle the deck of decay cards and deal </w:t>
      </w:r>
      <w:r w:rsidRPr="00941901">
        <w:rPr>
          <w:b/>
        </w:rPr>
        <w:t>four</w:t>
      </w:r>
      <w:r w:rsidR="00157E73">
        <w:t xml:space="preserve"> cards to each player.  Place the remaining cards in a draw pile near the board.</w:t>
      </w:r>
    </w:p>
    <w:p w14:paraId="7AAD68BE" w14:textId="77777777" w:rsidR="00B50B77" w:rsidRDefault="00B50B77">
      <w:r>
        <w:t>Organize the remaining dice by color and place the dice near the board.</w:t>
      </w:r>
    </w:p>
    <w:p w14:paraId="7AAD68BF" w14:textId="2362D54B" w:rsidR="00157E73" w:rsidRDefault="00157E73">
      <w:r>
        <w:t xml:space="preserve">Each player places </w:t>
      </w:r>
      <w:r w:rsidR="00655401">
        <w:t>the</w:t>
      </w:r>
      <w:r>
        <w:t xml:space="preserve"> player disc on Uranium 235 (U-235).  U-235 is the starting isotope for all players.</w:t>
      </w:r>
    </w:p>
    <w:p w14:paraId="7AAD68C0" w14:textId="74DDB38A" w:rsidR="004E16C6" w:rsidRDefault="007771C4">
      <w:r>
        <w:t xml:space="preserve">Each player rolls </w:t>
      </w:r>
      <w:r w:rsidR="00655401">
        <w:t>their</w:t>
      </w:r>
      <w:r>
        <w:t xml:space="preserve"> six-</w:t>
      </w:r>
      <w:r w:rsidR="00157E73">
        <w:t>sided dice to determine who plays first.  The player with the highest dice roll begins.</w:t>
      </w:r>
      <w:r w:rsidR="004E16C6">
        <w:t xml:space="preserve">  In the event of a tie, the tied players reroll until one player has the highest result.</w:t>
      </w:r>
    </w:p>
    <w:p w14:paraId="7AAD68C1" w14:textId="77777777" w:rsidR="007771C4" w:rsidRDefault="00520606" w:rsidP="00520606">
      <w:pPr>
        <w:pStyle w:val="Heading2"/>
      </w:pPr>
      <w:r>
        <w:t>Round</w:t>
      </w:r>
      <w:r w:rsidR="007771C4">
        <w:t xml:space="preserve"> Summary:</w:t>
      </w:r>
    </w:p>
    <w:p w14:paraId="7AAD68C2" w14:textId="1F912490" w:rsidR="00520606" w:rsidRDefault="00520606">
      <w:r>
        <w:t xml:space="preserve">During each player’s turn, </w:t>
      </w:r>
      <w:r w:rsidR="00655401">
        <w:t>they</w:t>
      </w:r>
      <w:r>
        <w:t xml:space="preserve"> may</w:t>
      </w:r>
      <w:r w:rsidR="00655401">
        <w:t xml:space="preserve"> choose one of these two actions: </w:t>
      </w:r>
    </w:p>
    <w:p w14:paraId="7AAD68C3" w14:textId="77777777" w:rsidR="00520606" w:rsidRDefault="00520606" w:rsidP="00520606">
      <w:pPr>
        <w:pStyle w:val="ListParagraph"/>
        <w:numPr>
          <w:ilvl w:val="0"/>
          <w:numId w:val="1"/>
        </w:numPr>
      </w:pPr>
      <w:r>
        <w:t>Draw two more decay cards</w:t>
      </w:r>
    </w:p>
    <w:p w14:paraId="00A8734E" w14:textId="7BB2F16F" w:rsidR="00655401" w:rsidRDefault="00655401" w:rsidP="00655401">
      <w:pPr>
        <w:pStyle w:val="ListParagraph"/>
        <w:numPr>
          <w:ilvl w:val="1"/>
          <w:numId w:val="2"/>
        </w:numPr>
      </w:pPr>
      <w:r>
        <w:t xml:space="preserve">Draw the top two cards from the decay card draw pile.  If there are not enough cards to draw, take the discard pile and reshuffle the cards to create a new draw pile.  </w:t>
      </w:r>
    </w:p>
    <w:p w14:paraId="78C85DE6" w14:textId="4A92C798" w:rsidR="00655401" w:rsidRDefault="00655401" w:rsidP="00655401">
      <w:pPr>
        <w:pStyle w:val="ListParagraph"/>
        <w:numPr>
          <w:ilvl w:val="1"/>
          <w:numId w:val="2"/>
        </w:numPr>
      </w:pPr>
      <w:r>
        <w:t>If after drawing two more cards the player has more than 10 cards, they must discard down to 10 cards.</w:t>
      </w:r>
    </w:p>
    <w:p w14:paraId="7AAD68C4" w14:textId="77777777" w:rsidR="00520606" w:rsidRDefault="00520606" w:rsidP="00520606">
      <w:pPr>
        <w:pStyle w:val="ListParagraph"/>
        <w:numPr>
          <w:ilvl w:val="0"/>
          <w:numId w:val="1"/>
        </w:numPr>
      </w:pPr>
      <w:r>
        <w:t>Play decay cards</w:t>
      </w:r>
    </w:p>
    <w:p w14:paraId="09B30050" w14:textId="43A9DC5D" w:rsidR="00535B80" w:rsidRDefault="00655401" w:rsidP="00655401">
      <w:pPr>
        <w:pStyle w:val="ListParagraph"/>
        <w:numPr>
          <w:ilvl w:val="1"/>
          <w:numId w:val="3"/>
        </w:numPr>
      </w:pPr>
      <w:r>
        <w:t xml:space="preserve">The player may choose some or all of the cards from their hand and reveal them to all other players.  Collect each dice needed to roll for a successfully decay event.  Each card has an icon with the dice name.  </w:t>
      </w:r>
      <w:r w:rsidR="004219A2" w:rsidRPr="004219A2">
        <w:rPr>
          <w:b/>
        </w:rPr>
        <w:t>The player must d</w:t>
      </w:r>
      <w:r w:rsidRPr="004219A2">
        <w:rPr>
          <w:b/>
        </w:rPr>
        <w:t>ec</w:t>
      </w:r>
      <w:r w:rsidRPr="009D62D6">
        <w:rPr>
          <w:b/>
        </w:rPr>
        <w:t xml:space="preserve">lare if </w:t>
      </w:r>
      <w:r w:rsidR="004219A2">
        <w:rPr>
          <w:b/>
        </w:rPr>
        <w:t xml:space="preserve">they </w:t>
      </w:r>
      <w:r w:rsidRPr="009D62D6">
        <w:rPr>
          <w:b/>
        </w:rPr>
        <w:t xml:space="preserve">will use the decay cards on </w:t>
      </w:r>
      <w:r w:rsidR="004219A2">
        <w:rPr>
          <w:b/>
        </w:rPr>
        <w:t>themselves</w:t>
      </w:r>
      <w:r w:rsidRPr="009D62D6">
        <w:rPr>
          <w:b/>
        </w:rPr>
        <w:t xml:space="preserve"> or on another player.  </w:t>
      </w:r>
    </w:p>
    <w:p w14:paraId="37D0D743" w14:textId="77777777" w:rsidR="00535B80" w:rsidRDefault="00535B80" w:rsidP="00F40ECF">
      <w:pPr>
        <w:pStyle w:val="ListParagraph"/>
        <w:numPr>
          <w:ilvl w:val="2"/>
          <w:numId w:val="4"/>
        </w:numPr>
      </w:pPr>
      <w:r>
        <w:t xml:space="preserve">Attack: </w:t>
      </w:r>
      <w:r w:rsidR="00655401">
        <w:t xml:space="preserve"> the decay is successful if the dice result is greater than or equal to 4.  </w:t>
      </w:r>
    </w:p>
    <w:p w14:paraId="37437421" w14:textId="0BCA813B" w:rsidR="00655401" w:rsidRDefault="00535B80" w:rsidP="00F40ECF">
      <w:pPr>
        <w:pStyle w:val="ListParagraph"/>
        <w:numPr>
          <w:ilvl w:val="2"/>
          <w:numId w:val="4"/>
        </w:numPr>
      </w:pPr>
      <w:r>
        <w:t xml:space="preserve">Defend: </w:t>
      </w:r>
      <w:r w:rsidR="00655401">
        <w:t xml:space="preserve"> </w:t>
      </w:r>
      <w:r>
        <w:t xml:space="preserve">The player gets to move one card played of their choice. For the remaining cards played, </w:t>
      </w:r>
      <w:r w:rsidR="00655401">
        <w:t>the decay is successful if the dice result is greater than or equal to 3.  Roll all of the dice and  move the player disc based on each successful decay roll.</w:t>
      </w:r>
    </w:p>
    <w:p w14:paraId="0FED6418" w14:textId="3D6539FB" w:rsidR="00655401" w:rsidRDefault="00655401" w:rsidP="00655401">
      <w:pPr>
        <w:pStyle w:val="Heading2"/>
      </w:pPr>
      <w:r>
        <w:t>Completing a Round:</w:t>
      </w:r>
    </w:p>
    <w:p w14:paraId="7AAD68C5" w14:textId="7A5B774D" w:rsidR="000D55DA" w:rsidRDefault="000D55DA" w:rsidP="000D55DA">
      <w:r>
        <w:t>After each player has played one turn, every player spontaneously decays.  Look at the is</w:t>
      </w:r>
      <w:r w:rsidR="004219A2">
        <w:t>otope occupied by your player piece</w:t>
      </w:r>
      <w:r w:rsidR="0079450B">
        <w:t xml:space="preserve"> and determine the successful spontaneously decay roll from the isotope half-life legend on the game board.  </w:t>
      </w:r>
      <w:r w:rsidR="002B3B75">
        <w:t>Roll a six-sided dice (D6).  If the result is greater than or equal to the number in the half-life legend, the spontaneous decay occurs successfully.  Move your player disc equal to the half-life</w:t>
      </w:r>
      <w:r w:rsidR="00941901">
        <w:t xml:space="preserve"> legend number in any direction (see example described on page 4).</w:t>
      </w:r>
    </w:p>
    <w:p w14:paraId="7AAD68CC" w14:textId="77777777" w:rsidR="00FB5EAA" w:rsidRDefault="00FB5EAA" w:rsidP="00FB5EAA">
      <w:pPr>
        <w:pStyle w:val="Heading2"/>
      </w:pPr>
      <w:r>
        <w:t>Special Rules:</w:t>
      </w:r>
    </w:p>
    <w:p w14:paraId="7AAD68CD" w14:textId="31B43235" w:rsidR="00FB5EAA" w:rsidRDefault="00FB5EAA" w:rsidP="00520606">
      <w:r w:rsidRPr="00FB5EAA">
        <w:rPr>
          <w:b/>
        </w:rPr>
        <w:t>R&amp;D Required</w:t>
      </w:r>
      <w:r w:rsidR="004219A2">
        <w:t>.  If a player lands on an u</w:t>
      </w:r>
      <w:r>
        <w:t xml:space="preserve">ndiscovered isotope (indicated by the grey background), the player must take the R&amp;D cone and place it on </w:t>
      </w:r>
      <w:r w:rsidR="0021319D">
        <w:t>their</w:t>
      </w:r>
      <w:r>
        <w:t xml:space="preserve"> disc.  </w:t>
      </w:r>
      <w:r w:rsidR="0021319D">
        <w:t>The player then</w:t>
      </w:r>
      <w:r>
        <w:t xml:space="preserve"> loses </w:t>
      </w:r>
      <w:r w:rsidR="0021319D">
        <w:t xml:space="preserve">their next turn </w:t>
      </w:r>
      <w:r w:rsidR="0056441E">
        <w:t xml:space="preserve">researching the undiscovered element! </w:t>
      </w:r>
    </w:p>
    <w:p w14:paraId="3077E954" w14:textId="77777777" w:rsidR="00F40ECF" w:rsidRDefault="00F40ECF" w:rsidP="00F40ECF"/>
    <w:p w14:paraId="377117A5" w14:textId="3BB523FD" w:rsidR="00941901" w:rsidRDefault="00941901" w:rsidP="00941901">
      <w:pPr>
        <w:pStyle w:val="Heading2"/>
      </w:pPr>
      <w:r>
        <w:lastRenderedPageBreak/>
        <w:t xml:space="preserve">Example of Completing a Round: </w:t>
      </w:r>
    </w:p>
    <w:p w14:paraId="5D7E7183" w14:textId="2F3263F9" w:rsidR="00F40ECF" w:rsidRDefault="00F40ECF" w:rsidP="00F40ECF">
      <w:r>
        <w:t>Your player disc is on Radium (Ra-214) during the spontaneous decay phase.  Ra-214 has a half-life longer than 1 minute.  Based on the half-life legend, the successful decay roll is greater than or equal to 3.  You roll a six-sided dice (D6) and the result is 5.  This is a successful spontaneous decay.  You choose to move your token three spaces from Ra-214 to At-211.</w:t>
      </w:r>
    </w:p>
    <w:p w14:paraId="7AAD68CE" w14:textId="77777777" w:rsidR="000D55DA" w:rsidRDefault="000D55DA" w:rsidP="00520606"/>
    <w:p w14:paraId="7AAD68CF" w14:textId="77777777" w:rsidR="00157E73" w:rsidRDefault="00157E73">
      <w:r>
        <w:t xml:space="preserve">  </w:t>
      </w:r>
    </w:p>
    <w:sectPr w:rsidR="00157E73">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25141" w14:textId="77777777" w:rsidR="00941901" w:rsidRDefault="00941901" w:rsidP="00941901">
      <w:pPr>
        <w:spacing w:after="0" w:line="240" w:lineRule="auto"/>
      </w:pPr>
      <w:r>
        <w:separator/>
      </w:r>
    </w:p>
  </w:endnote>
  <w:endnote w:type="continuationSeparator" w:id="0">
    <w:p w14:paraId="192D03C0" w14:textId="77777777" w:rsidR="00941901" w:rsidRDefault="00941901" w:rsidP="0094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A982E" w14:textId="3C9EA192" w:rsidR="00941901" w:rsidRDefault="00941901">
    <w:pPr>
      <w:pStyle w:val="Footer"/>
      <w:jc w:val="right"/>
    </w:pPr>
    <w:r>
      <w:t xml:space="preserve">Page </w:t>
    </w:r>
    <w:sdt>
      <w:sdtPr>
        <w:id w:val="9678627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3EFA">
          <w:rPr>
            <w:noProof/>
          </w:rPr>
          <w:t>2</w:t>
        </w:r>
        <w:r>
          <w:rPr>
            <w:noProof/>
          </w:rPr>
          <w:fldChar w:fldCharType="end"/>
        </w:r>
      </w:sdtContent>
    </w:sdt>
  </w:p>
  <w:p w14:paraId="422E782A" w14:textId="77777777" w:rsidR="00941901" w:rsidRDefault="00941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3D0E6" w14:textId="77777777" w:rsidR="00941901" w:rsidRDefault="00941901" w:rsidP="00941901">
      <w:pPr>
        <w:spacing w:after="0" w:line="240" w:lineRule="auto"/>
      </w:pPr>
      <w:r>
        <w:separator/>
      </w:r>
    </w:p>
  </w:footnote>
  <w:footnote w:type="continuationSeparator" w:id="0">
    <w:p w14:paraId="5B8E2890" w14:textId="77777777" w:rsidR="00941901" w:rsidRDefault="00941901" w:rsidP="00941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91E0A"/>
    <w:multiLevelType w:val="hybridMultilevel"/>
    <w:tmpl w:val="1DC46B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B2A3C"/>
    <w:multiLevelType w:val="hybridMultilevel"/>
    <w:tmpl w:val="0748C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B38B4"/>
    <w:multiLevelType w:val="hybridMultilevel"/>
    <w:tmpl w:val="FC54C0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927E1"/>
    <w:multiLevelType w:val="hybridMultilevel"/>
    <w:tmpl w:val="5BF07B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73"/>
    <w:rsid w:val="000D55DA"/>
    <w:rsid w:val="001510EA"/>
    <w:rsid w:val="00157E73"/>
    <w:rsid w:val="0021319D"/>
    <w:rsid w:val="002B3B75"/>
    <w:rsid w:val="002F16ED"/>
    <w:rsid w:val="004219A2"/>
    <w:rsid w:val="00476D8C"/>
    <w:rsid w:val="0048387F"/>
    <w:rsid w:val="004E16C6"/>
    <w:rsid w:val="00520606"/>
    <w:rsid w:val="00535B80"/>
    <w:rsid w:val="00547241"/>
    <w:rsid w:val="005576F4"/>
    <w:rsid w:val="0056441E"/>
    <w:rsid w:val="00621D15"/>
    <w:rsid w:val="00655401"/>
    <w:rsid w:val="00666E1C"/>
    <w:rsid w:val="006D6630"/>
    <w:rsid w:val="00706EAB"/>
    <w:rsid w:val="007124D5"/>
    <w:rsid w:val="00721468"/>
    <w:rsid w:val="00734983"/>
    <w:rsid w:val="007771C4"/>
    <w:rsid w:val="0079450B"/>
    <w:rsid w:val="008416BE"/>
    <w:rsid w:val="00941901"/>
    <w:rsid w:val="009D4E04"/>
    <w:rsid w:val="009D62D6"/>
    <w:rsid w:val="00A22349"/>
    <w:rsid w:val="00B1723D"/>
    <w:rsid w:val="00B50B77"/>
    <w:rsid w:val="00B72D0C"/>
    <w:rsid w:val="00B93EFA"/>
    <w:rsid w:val="00B95FDD"/>
    <w:rsid w:val="00D21DD9"/>
    <w:rsid w:val="00D81FEE"/>
    <w:rsid w:val="00DF3ADC"/>
    <w:rsid w:val="00F40ECF"/>
    <w:rsid w:val="00F43F25"/>
    <w:rsid w:val="00F715E8"/>
    <w:rsid w:val="00FB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1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0ECF"/>
    <w:pPr>
      <w:keepNext/>
      <w:keepLines/>
      <w:spacing w:before="12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06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0E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20606"/>
    <w:pPr>
      <w:ind w:left="720"/>
      <w:contextualSpacing/>
    </w:pPr>
  </w:style>
  <w:style w:type="character" w:customStyle="1" w:styleId="Heading3Char">
    <w:name w:val="Heading 3 Char"/>
    <w:basedOn w:val="DefaultParagraphFont"/>
    <w:link w:val="Heading3"/>
    <w:uiPriority w:val="9"/>
    <w:rsid w:val="0052060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D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630"/>
    <w:rPr>
      <w:rFonts w:ascii="Tahoma" w:hAnsi="Tahoma" w:cs="Tahoma"/>
      <w:sz w:val="16"/>
      <w:szCs w:val="16"/>
    </w:rPr>
  </w:style>
  <w:style w:type="character" w:customStyle="1" w:styleId="Heading1Char">
    <w:name w:val="Heading 1 Char"/>
    <w:basedOn w:val="DefaultParagraphFont"/>
    <w:link w:val="Heading1"/>
    <w:uiPriority w:val="9"/>
    <w:rsid w:val="008416B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901"/>
  </w:style>
  <w:style w:type="paragraph" w:styleId="Footer">
    <w:name w:val="footer"/>
    <w:basedOn w:val="Normal"/>
    <w:link w:val="FooterChar"/>
    <w:uiPriority w:val="99"/>
    <w:unhideWhenUsed/>
    <w:rsid w:val="0094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1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0ECF"/>
    <w:pPr>
      <w:keepNext/>
      <w:keepLines/>
      <w:spacing w:before="12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06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0E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20606"/>
    <w:pPr>
      <w:ind w:left="720"/>
      <w:contextualSpacing/>
    </w:pPr>
  </w:style>
  <w:style w:type="character" w:customStyle="1" w:styleId="Heading3Char">
    <w:name w:val="Heading 3 Char"/>
    <w:basedOn w:val="DefaultParagraphFont"/>
    <w:link w:val="Heading3"/>
    <w:uiPriority w:val="9"/>
    <w:rsid w:val="0052060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D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630"/>
    <w:rPr>
      <w:rFonts w:ascii="Tahoma" w:hAnsi="Tahoma" w:cs="Tahoma"/>
      <w:sz w:val="16"/>
      <w:szCs w:val="16"/>
    </w:rPr>
  </w:style>
  <w:style w:type="character" w:customStyle="1" w:styleId="Heading1Char">
    <w:name w:val="Heading 1 Char"/>
    <w:basedOn w:val="DefaultParagraphFont"/>
    <w:link w:val="Heading1"/>
    <w:uiPriority w:val="9"/>
    <w:rsid w:val="008416B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901"/>
  </w:style>
  <w:style w:type="paragraph" w:styleId="Footer">
    <w:name w:val="footer"/>
    <w:basedOn w:val="Normal"/>
    <w:link w:val="FooterChar"/>
    <w:uiPriority w:val="99"/>
    <w:unhideWhenUsed/>
    <w:rsid w:val="0094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6f9d7bea-44d3-41fa-9599-7661f4d2e97c">EKXXDRC4DUM2-1-1103</_dlc_DocId>
    <_dlc_DocIdUrl xmlns="6f9d7bea-44d3-41fa-9599-7661f4d2e97c">
      <Url>https://nuc.duke-energy.com/sites/MNSNAYGN/_layouts/DocIdRedir.aspx?ID=EKXXDRC4DUM2-1-1103</Url>
      <Description>EKXXDRC4DUM2-1-1103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AF7369F07C6489E7F7E15CEF7782C" ma:contentTypeVersion="9" ma:contentTypeDescription="Create a new document." ma:contentTypeScope="" ma:versionID="10c7d74fb3450ba0553a3faf5053895a">
  <xsd:schema xmlns:xsd="http://www.w3.org/2001/XMLSchema" xmlns:xs="http://www.w3.org/2001/XMLSchema" xmlns:p="http://schemas.microsoft.com/office/2006/metadata/properties" xmlns:ns1="http://schemas.microsoft.com/sharepoint/v3" xmlns:ns2="6f9d7bea-44d3-41fa-9599-7661f4d2e97c" xmlns:ns3="http://schemas.microsoft.com/sharepoint/v4" targetNamespace="http://schemas.microsoft.com/office/2006/metadata/properties" ma:root="true" ma:fieldsID="f594b72760d52f511bdbbef05daecdf1" ns1:_="" ns2:_="" ns3:_="">
    <xsd:import namespace="http://schemas.microsoft.com/sharepoint/v3"/>
    <xsd:import namespace="6f9d7bea-44d3-41fa-9599-7661f4d2e97c"/>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_dlc_DocId" minOccurs="0"/>
                <xsd:element ref="ns2:_dlc_DocIdUrl" minOccurs="0"/>
                <xsd:element ref="ns2:_dlc_DocIdPersistId"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d7bea-44d3-41fa-9599-7661f4d2e97c"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80AE7-6753-42FD-8AB7-1FDF03457B9A}">
  <ds:schemaRefs>
    <ds:schemaRef ds:uri="http://purl.org/dc/terms/"/>
    <ds:schemaRef ds:uri="http://schemas.microsoft.com/sharepoint/v3"/>
    <ds:schemaRef ds:uri="http://purl.org/dc/dcmitype/"/>
    <ds:schemaRef ds:uri="http://schemas.microsoft.com/office/2006/documentManagement/types"/>
    <ds:schemaRef ds:uri="http://www.w3.org/XML/1998/namespace"/>
    <ds:schemaRef ds:uri="http://schemas.openxmlformats.org/package/2006/metadata/core-properties"/>
    <ds:schemaRef ds:uri="http://schemas.microsoft.com/sharepoint/v4"/>
    <ds:schemaRef ds:uri="http://purl.org/dc/elements/1.1/"/>
    <ds:schemaRef ds:uri="http://schemas.microsoft.com/office/infopath/2007/PartnerControls"/>
    <ds:schemaRef ds:uri="6f9d7bea-44d3-41fa-9599-7661f4d2e97c"/>
    <ds:schemaRef ds:uri="http://schemas.microsoft.com/office/2006/metadata/properties"/>
  </ds:schemaRefs>
</ds:datastoreItem>
</file>

<file path=customXml/itemProps2.xml><?xml version="1.0" encoding="utf-8"?>
<ds:datastoreItem xmlns:ds="http://schemas.openxmlformats.org/officeDocument/2006/customXml" ds:itemID="{036C543C-3F9C-4F6B-B645-3C87615A8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9d7bea-44d3-41fa-9599-7661f4d2e97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E9E7E-3832-4EB1-811A-C2B6B8D8AF32}">
  <ds:schemaRefs>
    <ds:schemaRef ds:uri="http://schemas.microsoft.com/sharepoint/events"/>
  </ds:schemaRefs>
</ds:datastoreItem>
</file>

<file path=customXml/itemProps4.xml><?xml version="1.0" encoding="utf-8"?>
<ds:datastoreItem xmlns:ds="http://schemas.openxmlformats.org/officeDocument/2006/customXml" ds:itemID="{8A8E3B11-152E-4F8C-89E7-4C282AF58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Hemker, Kyle A</dc:creator>
  <cp:lastModifiedBy>Lang, Amanda</cp:lastModifiedBy>
  <cp:revision>2</cp:revision>
  <dcterms:created xsi:type="dcterms:W3CDTF">2017-10-26T16:57:00Z</dcterms:created>
  <dcterms:modified xsi:type="dcterms:W3CDTF">2017-10-26T16:57:00Z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0x010100D3EAF7369F07C6489E7F7E15CEF7782C</vt:lpwstr>
  </property>
  <property fmtid="{D5CDD505-2E9C-101B-9397-08002B2CF9AE}" pid="3" name="_dlc_DocIdItemGuid">
    <vt:lpwstr>44e19b17-c273-4fa0-8f94-d17d92c041be</vt:lpwstr>
  </property>
  <property fmtid="{D5CDD505-2E9C-101B-9397-08002B2CF9AE}" pid="4" name="Application Choice">
    <vt:lpwstr/>
  </property>
  <property fmtid="{D5CDD505-2E9C-101B-9397-08002B2CF9AE}" pid="5" name="Order">
    <vt:r8>108800</vt:r8>
  </property>
  <property fmtid="{D5CDD505-2E9C-101B-9397-08002B2CF9AE}" pid="6" name="WorkflowCategory">
    <vt:lpwstr/>
  </property>
  <property fmtid="{D5CDD505-2E9C-101B-9397-08002B2CF9AE}" pid="7" name="xd_ProgID">
    <vt:lpwstr/>
  </property>
  <property fmtid="{D5CDD505-2E9C-101B-9397-08002B2CF9AE}" pid="8" name="_CopySource">
    <vt:lpwstr>https://nuc.duke-energy.com/sites/MNSNAYGN/Shared Documents/DENCC 2017/Critical Path Specs/Critical Path Game Instructions.docx</vt:lpwstr>
  </property>
  <property fmtid="{D5CDD505-2E9C-101B-9397-08002B2CF9AE}" pid="9" name="TemplateUrl">
    <vt:lpwstr/>
  </property>
</Properties>
</file>